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20" w:lineRule="exact"/>
        <w:rPr>
          <w:sz w:val="32"/>
          <w:szCs w:val="32"/>
        </w:rPr>
      </w:pPr>
    </w:p>
    <w:p>
      <w:pPr>
        <w:spacing w:line="220" w:lineRule="exact"/>
        <w:rPr>
          <w:sz w:val="32"/>
          <w:szCs w:val="32"/>
        </w:rPr>
      </w:pPr>
    </w:p>
    <w:p>
      <w:pPr>
        <w:spacing w:line="220" w:lineRule="exact"/>
        <w:rPr>
          <w:sz w:val="32"/>
          <w:szCs w:val="32"/>
        </w:rPr>
      </w:pPr>
    </w:p>
    <w:p>
      <w:pPr>
        <w:rPr>
          <w:sz w:val="32"/>
          <w:szCs w:val="32"/>
        </w:rPr>
      </w:pPr>
    </w:p>
    <w:p>
      <w:pPr>
        <w:jc w:val="center"/>
        <w:rPr>
          <w:rFonts w:ascii="仿宋_GB2312" w:hAnsi="仿宋" w:eastAsia="仿宋_GB2312"/>
          <w:sz w:val="32"/>
          <w:szCs w:val="32"/>
        </w:rPr>
      </w:pPr>
    </w:p>
    <w:p>
      <w:pPr>
        <w:jc w:val="center"/>
        <w:rPr>
          <w:rFonts w:ascii="仿宋_GB2312" w:hAnsi="仿宋" w:eastAsia="仿宋_GB2312"/>
          <w:sz w:val="32"/>
          <w:szCs w:val="32"/>
        </w:rPr>
      </w:pPr>
    </w:p>
    <w:p>
      <w:pPr>
        <w:jc w:val="center"/>
        <w:rPr>
          <w:rFonts w:hint="eastAsia" w:ascii="仿宋_GB2312" w:hAnsi="仿宋_GB2312" w:eastAsia="仿宋_GB2312" w:cs="仿宋_GB2312"/>
          <w:sz w:val="32"/>
          <w:szCs w:val="32"/>
        </w:rPr>
      </w:pPr>
      <w:r>
        <w:rPr>
          <w:rFonts w:hint="eastAsia" w:ascii="仿宋_GB2312" w:hAnsi="仿宋_GB2312" w:eastAsia="仿宋_GB2312" w:cs="仿宋_GB2312"/>
        </w:rPr>
        <w:pict>
          <v:shape id="_x0000_s1027" o:spid="_x0000_s1027" o:spt="202" type="#_x0000_t202" style="position:absolute;left:0pt;margin-left:-69.9pt;margin-top:-66.1pt;height:54pt;width:595.3pt;z-index:251659264;mso-width-relative:page;mso-height-relative:page;" filled="f" stroked="f" coordsize="21600,21600">
            <v:path/>
            <v:fill on="f" focussize="0,0"/>
            <v:stroke on="f" joinstyle="miter"/>
            <v:imagedata o:title=""/>
            <o:lock v:ext="edit"/>
            <v:textbox>
              <w:txbxContent>
                <w:p>
                  <w:pPr>
                    <w:spacing w:line="220" w:lineRule="exact"/>
                    <w:jc w:val="center"/>
                    <w:rPr>
                      <w:rFonts w:ascii="方正小标宋简体" w:eastAsia="方正小标宋简体"/>
                      <w:b/>
                      <w:color w:val="FF0000"/>
                      <w:w w:val="95"/>
                      <w:sz w:val="66"/>
                      <w:szCs w:val="64"/>
                    </w:rPr>
                  </w:pPr>
                </w:p>
                <w:p>
                  <w:pPr>
                    <w:jc w:val="center"/>
                    <w:rPr>
                      <w:rFonts w:ascii="方正小标宋简体" w:eastAsia="方正小标宋简体"/>
                      <w:b/>
                      <w:color w:val="FF0000"/>
                      <w:w w:val="95"/>
                      <w:sz w:val="66"/>
                      <w:szCs w:val="64"/>
                    </w:rPr>
                  </w:pPr>
                </w:p>
                <w:p>
                  <w:pPr>
                    <w:jc w:val="center"/>
                    <w:rPr>
                      <w:rFonts w:ascii="方正小标宋简体" w:eastAsia="方正小标宋简体"/>
                      <w:b/>
                      <w:color w:val="FF0000"/>
                      <w:w w:val="95"/>
                      <w:sz w:val="66"/>
                      <w:szCs w:val="64"/>
                    </w:rPr>
                  </w:pPr>
                </w:p>
                <w:p>
                  <w:pPr>
                    <w:jc w:val="center"/>
                    <w:rPr>
                      <w:rFonts w:ascii="方正小标宋简体" w:eastAsia="方正小标宋简体"/>
                      <w:b/>
                      <w:color w:val="FF0000"/>
                      <w:w w:val="95"/>
                      <w:sz w:val="66"/>
                      <w:szCs w:val="64"/>
                    </w:rPr>
                  </w:pPr>
                </w:p>
              </w:txbxContent>
            </v:textbox>
          </v:shape>
        </w:pict>
      </w:r>
      <w:r>
        <w:rPr>
          <w:rFonts w:hint="eastAsia" w:ascii="仿宋_GB2312" w:hAnsi="仿宋_GB2312" w:eastAsia="仿宋_GB2312" w:cs="仿宋_GB2312"/>
          <w:sz w:val="32"/>
          <w:szCs w:val="32"/>
        </w:rPr>
        <w:t>教信评文</w:t>
      </w:r>
      <w:r>
        <w:rPr>
          <w:rFonts w:hint="eastAsia" w:ascii="仿宋_GB2312" w:hAnsi="仿宋_GB2312" w:eastAsia="仿宋_GB2312" w:cs="仿宋_GB2312"/>
          <w:color w:val="333333"/>
          <w:sz w:val="32"/>
          <w:szCs w:val="32"/>
          <w:shd w:val="clear" w:color="auto" w:fill="FFFFFF"/>
        </w:rPr>
        <w:t>〔</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color w:val="333333"/>
          <w:sz w:val="32"/>
          <w:szCs w:val="32"/>
          <w:shd w:val="clear" w:color="auto" w:fill="FFFFFF"/>
        </w:rPr>
        <w:t>〕</w:t>
      </w:r>
      <w:r>
        <w:rPr>
          <w:rFonts w:hint="eastAsia" w:ascii="仿宋_GB2312" w:hAnsi="仿宋_GB2312" w:eastAsia="仿宋_GB2312" w:cs="仿宋_GB2312"/>
          <w:color w:val="333333"/>
          <w:sz w:val="32"/>
          <w:szCs w:val="32"/>
          <w:shd w:val="clear" w:color="auto" w:fill="FFFFFF"/>
          <w:lang w:val="en-US" w:eastAsia="zh-CN"/>
        </w:rPr>
        <w:t>1</w:t>
      </w:r>
      <w:r>
        <w:rPr>
          <w:rFonts w:hint="eastAsia" w:ascii="仿宋_GB2312" w:hAnsi="仿宋_GB2312" w:eastAsia="仿宋_GB2312" w:cs="仿宋_GB2312"/>
          <w:sz w:val="32"/>
          <w:szCs w:val="32"/>
        </w:rPr>
        <w:t>号</w:t>
      </w:r>
    </w:p>
    <w:p>
      <w:pPr>
        <w:snapToGrid w:val="0"/>
        <w:spacing w:line="240" w:lineRule="atLeast"/>
        <w:rPr>
          <w:rFonts w:ascii="方正小标宋简体" w:eastAsia="方正小标宋简体"/>
          <w:sz w:val="44"/>
          <w:szCs w:val="44"/>
        </w:rPr>
      </w:pPr>
    </w:p>
    <w:p>
      <w:pPr>
        <w:snapToGrid w:val="0"/>
        <w:spacing w:line="240" w:lineRule="atLeas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关于开展</w:t>
      </w:r>
      <w:r>
        <w:rPr>
          <w:rFonts w:hint="eastAsia" w:ascii="方正小标宋简体" w:hAnsi="方正小标宋简体" w:eastAsia="方正小标宋简体" w:cs="方正小标宋简体"/>
          <w:b/>
          <w:bCs/>
          <w:sz w:val="44"/>
          <w:szCs w:val="44"/>
        </w:rPr>
        <w:t>202</w:t>
      </w:r>
      <w:r>
        <w:rPr>
          <w:rFonts w:hint="eastAsia" w:ascii="方正小标宋简体" w:hAnsi="方正小标宋简体" w:eastAsia="方正小标宋简体" w:cs="方正小标宋简体"/>
          <w:b/>
          <w:bCs/>
          <w:sz w:val="44"/>
          <w:szCs w:val="44"/>
          <w:lang w:val="en-US" w:eastAsia="zh-CN"/>
        </w:rPr>
        <w:t>3</w:t>
      </w:r>
      <w:r>
        <w:rPr>
          <w:rFonts w:hint="eastAsia" w:ascii="方正小标宋简体" w:hAnsi="方正小标宋简体" w:eastAsia="方正小标宋简体" w:cs="方正小标宋简体"/>
          <w:sz w:val="44"/>
          <w:szCs w:val="44"/>
        </w:rPr>
        <w:t>年教</w:t>
      </w:r>
      <w:bookmarkStart w:id="0" w:name="_GoBack"/>
      <w:bookmarkEnd w:id="0"/>
      <w:r>
        <w:rPr>
          <w:rFonts w:hint="eastAsia" w:ascii="方正小标宋简体" w:hAnsi="方正小标宋简体" w:eastAsia="方正小标宋简体" w:cs="方正小标宋简体"/>
          <w:sz w:val="44"/>
          <w:szCs w:val="44"/>
        </w:rPr>
        <w:t>育装备行业</w:t>
      </w:r>
    </w:p>
    <w:p>
      <w:pPr>
        <w:snapToGrid w:val="0"/>
        <w:spacing w:line="360" w:lineRule="auto"/>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企业信用等级评价工作的通知</w:t>
      </w:r>
    </w:p>
    <w:p>
      <w:pPr>
        <w:spacing w:line="660" w:lineRule="exact"/>
        <w:rPr>
          <w:rFonts w:hint="eastAsia" w:ascii="仿宋_GB2312" w:hAnsi="仿宋" w:eastAsia="仿宋_GB2312"/>
          <w:sz w:val="32"/>
          <w:szCs w:val="32"/>
        </w:rPr>
      </w:pPr>
      <w:r>
        <w:rPr>
          <w:rFonts w:hint="eastAsia" w:ascii="仿宋_GB2312" w:hAnsi="仿宋" w:eastAsia="仿宋_GB2312"/>
          <w:sz w:val="32"/>
          <w:szCs w:val="32"/>
        </w:rPr>
        <w:t>各省、自治区、直辖市及计划单列市</w:t>
      </w:r>
      <w:r>
        <w:rPr>
          <w:rFonts w:hint="eastAsia" w:ascii="仿宋_GB2312" w:hAnsi="仿宋" w:eastAsia="仿宋_GB2312"/>
          <w:sz w:val="32"/>
          <w:szCs w:val="32"/>
          <w:lang w:eastAsia="zh-CN"/>
        </w:rPr>
        <w:t>、新疆生产建设兵团</w:t>
      </w:r>
      <w:r>
        <w:rPr>
          <w:rFonts w:hint="eastAsia" w:ascii="仿宋_GB2312" w:hAnsi="仿宋" w:eastAsia="仿宋_GB2312"/>
          <w:sz w:val="32"/>
          <w:szCs w:val="32"/>
        </w:rPr>
        <w:t>教育装备行业协会，教育技术装备处（中心、办），各分支机构及有关会员企业：</w:t>
      </w:r>
    </w:p>
    <w:p>
      <w:pPr>
        <w:spacing w:line="660" w:lineRule="exact"/>
        <w:ind w:firstLine="645"/>
        <w:rPr>
          <w:rFonts w:hint="eastAsia" w:ascii="仿宋_GB2312" w:hAnsi="仿宋" w:eastAsia="仿宋_GB2312"/>
          <w:sz w:val="32"/>
          <w:szCs w:val="32"/>
        </w:rPr>
      </w:pPr>
      <w:r>
        <w:rPr>
          <w:rFonts w:hint="eastAsia" w:ascii="仿宋_GB2312" w:hAnsi="仿宋" w:eastAsia="仿宋_GB2312"/>
          <w:sz w:val="32"/>
          <w:szCs w:val="32"/>
        </w:rPr>
        <w:t>为贯彻落实</w:t>
      </w:r>
      <w:r>
        <w:rPr>
          <w:rFonts w:hint="eastAsia" w:ascii="仿宋_GB2312" w:hAnsi="仿宋_GB2312" w:eastAsia="仿宋_GB2312" w:cs="仿宋_GB2312"/>
          <w:i w:val="0"/>
          <w:iCs w:val="0"/>
          <w:caps w:val="0"/>
          <w:color w:val="auto"/>
          <w:spacing w:val="0"/>
          <w:sz w:val="32"/>
          <w:szCs w:val="32"/>
          <w:shd w:val="clear" w:fill="FFFFFF"/>
        </w:rPr>
        <w:t>中共中央办公厅、国务院办公厅</w:t>
      </w:r>
      <w:r>
        <w:rPr>
          <w:rFonts w:hint="eastAsia" w:ascii="仿宋_GB2312" w:hAnsi="仿宋_GB2312" w:eastAsia="仿宋_GB2312" w:cs="仿宋_GB2312"/>
          <w:i w:val="0"/>
          <w:iCs w:val="0"/>
          <w:caps w:val="0"/>
          <w:color w:val="auto"/>
          <w:spacing w:val="0"/>
          <w:sz w:val="32"/>
          <w:szCs w:val="32"/>
        </w:rPr>
        <w:t>《</w:t>
      </w:r>
      <w:r>
        <w:rPr>
          <w:rFonts w:hint="eastAsia" w:ascii="仿宋_GB2312" w:hAnsi="仿宋_GB2312" w:eastAsia="仿宋_GB2312" w:cs="仿宋_GB2312"/>
          <w:i w:val="0"/>
          <w:iCs w:val="0"/>
          <w:caps w:val="0"/>
          <w:color w:val="auto"/>
          <w:spacing w:val="0"/>
          <w:sz w:val="30"/>
          <w:szCs w:val="30"/>
        </w:rPr>
        <w:t>关于推进社</w:t>
      </w:r>
      <w:r>
        <w:rPr>
          <w:rFonts w:hint="eastAsia" w:ascii="仿宋_GB2312" w:hAnsi="仿宋_GB2312" w:eastAsia="仿宋_GB2312" w:cs="仿宋_GB2312"/>
          <w:i w:val="0"/>
          <w:iCs w:val="0"/>
          <w:caps w:val="0"/>
          <w:color w:val="auto"/>
          <w:spacing w:val="0"/>
          <w:sz w:val="32"/>
          <w:szCs w:val="32"/>
        </w:rPr>
        <w:t>会信用体系建设高质量发展  促进形成新发展格局的意见》</w:t>
      </w:r>
      <w:r>
        <w:rPr>
          <w:rFonts w:hint="eastAsia" w:ascii="仿宋_GB2312" w:hAnsi="仿宋" w:eastAsia="仿宋_GB2312"/>
          <w:sz w:val="32"/>
          <w:szCs w:val="32"/>
        </w:rPr>
        <w:t>文件精神</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进一步服务会员企业，促进行业自律，提高行业信用水平和企业信用风险防范能力</w:t>
      </w:r>
      <w:r>
        <w:rPr>
          <w:rFonts w:hint="eastAsia" w:ascii="仿宋_GB2312" w:hAnsi="仿宋" w:eastAsia="仿宋_GB2312"/>
          <w:sz w:val="32"/>
          <w:szCs w:val="32"/>
          <w:lang w:eastAsia="zh-CN"/>
        </w:rPr>
        <w:t>，</w:t>
      </w:r>
      <w:r>
        <w:rPr>
          <w:rFonts w:hint="eastAsia" w:ascii="仿宋_GB2312" w:hAnsi="仿宋" w:eastAsia="仿宋_GB2312"/>
          <w:sz w:val="32"/>
          <w:szCs w:val="32"/>
        </w:rPr>
        <w:t>中国教育装备行业协会(以下简称“协会”)决定开展202</w:t>
      </w:r>
      <w:r>
        <w:rPr>
          <w:rFonts w:hint="eastAsia" w:ascii="仿宋_GB2312" w:hAnsi="仿宋" w:eastAsia="仿宋_GB2312"/>
          <w:sz w:val="32"/>
          <w:szCs w:val="32"/>
          <w:lang w:val="en-US" w:eastAsia="zh-CN"/>
        </w:rPr>
        <w:t>3</w:t>
      </w:r>
      <w:r>
        <w:rPr>
          <w:rFonts w:hint="eastAsia" w:ascii="仿宋_GB2312" w:hAnsi="仿宋" w:eastAsia="仿宋_GB2312"/>
          <w:sz w:val="32"/>
          <w:szCs w:val="32"/>
        </w:rPr>
        <w:t>年度教育装备行业企业信用等级评价工作。现将有关事项通知如下：</w:t>
      </w:r>
    </w:p>
    <w:p>
      <w:pPr>
        <w:spacing w:line="660" w:lineRule="exact"/>
        <w:ind w:firstLine="640" w:firstLineChars="200"/>
        <w:rPr>
          <w:rFonts w:ascii="黑体" w:hAnsi="黑体" w:eastAsia="黑体"/>
          <w:sz w:val="32"/>
          <w:szCs w:val="32"/>
        </w:rPr>
      </w:pPr>
      <w:r>
        <w:rPr>
          <w:rFonts w:hint="eastAsia" w:ascii="黑体" w:hAnsi="黑体" w:eastAsia="黑体"/>
          <w:sz w:val="32"/>
          <w:szCs w:val="32"/>
        </w:rPr>
        <w:t>一、工作指南</w:t>
      </w:r>
    </w:p>
    <w:p>
      <w:pPr>
        <w:spacing w:line="660" w:lineRule="exact"/>
        <w:ind w:firstLine="645"/>
        <w:rPr>
          <w:rFonts w:ascii="仿宋_GB2312" w:hAnsi="仿宋" w:eastAsia="仿宋_GB2312"/>
          <w:sz w:val="32"/>
          <w:szCs w:val="32"/>
        </w:rPr>
      </w:pPr>
      <w:r>
        <w:rPr>
          <w:rFonts w:hint="eastAsia" w:ascii="仿宋_GB2312" w:hAnsi="仿宋" w:eastAsia="仿宋_GB2312"/>
          <w:sz w:val="32"/>
          <w:szCs w:val="32"/>
        </w:rPr>
        <w:t>为更好地指导企业参加教育装备行业信用等级评价工作，协会特制定了《中国教育装备行业企业信用评价工作指南</w:t>
      </w:r>
      <w:r>
        <w:rPr>
          <w:rFonts w:hint="eastAsia" w:ascii="仿宋_GB2312" w:hAnsi="仿宋" w:eastAsia="仿宋_GB2312"/>
          <w:sz w:val="32"/>
          <w:szCs w:val="32"/>
          <w:lang w:eastAsia="zh-CN"/>
        </w:rPr>
        <w:t>（</w:t>
      </w:r>
      <w:r>
        <w:rPr>
          <w:rFonts w:hint="eastAsia" w:ascii="仿宋_GB2312" w:hAnsi="仿宋" w:eastAsia="仿宋_GB2312"/>
          <w:sz w:val="32"/>
          <w:szCs w:val="32"/>
          <w:lang w:val="en-US" w:eastAsia="zh-CN"/>
        </w:rPr>
        <w:t>2023版</w:t>
      </w:r>
      <w:r>
        <w:rPr>
          <w:rFonts w:hint="eastAsia" w:ascii="仿宋_GB2312" w:hAnsi="仿宋" w:eastAsia="仿宋_GB2312"/>
          <w:sz w:val="32"/>
          <w:szCs w:val="32"/>
          <w:lang w:eastAsia="zh-CN"/>
        </w:rPr>
        <w:t>）</w:t>
      </w:r>
      <w:r>
        <w:rPr>
          <w:rFonts w:hint="eastAsia" w:ascii="仿宋_GB2312" w:hAnsi="仿宋" w:eastAsia="仿宋_GB2312"/>
          <w:sz w:val="32"/>
          <w:szCs w:val="32"/>
        </w:rPr>
        <w:t>》（见附件</w:t>
      </w:r>
      <w:r>
        <w:rPr>
          <w:rFonts w:hint="eastAsia" w:ascii="仿宋_GB2312" w:hAnsi="仿宋" w:eastAsia="仿宋_GB2312"/>
          <w:sz w:val="32"/>
          <w:szCs w:val="32"/>
          <w:lang w:val="en-US" w:eastAsia="zh-CN"/>
        </w:rPr>
        <w:t>1</w:t>
      </w:r>
      <w:r>
        <w:rPr>
          <w:rFonts w:hint="eastAsia" w:ascii="仿宋_GB2312" w:hAnsi="仿宋" w:eastAsia="仿宋_GB2312"/>
          <w:sz w:val="32"/>
          <w:szCs w:val="32"/>
        </w:rPr>
        <w:t>），请各申报单位参照本</w:t>
      </w:r>
      <w:r>
        <w:rPr>
          <w:rFonts w:hint="eastAsia" w:ascii="仿宋_GB2312" w:hAnsi="仿宋" w:eastAsia="仿宋_GB2312"/>
          <w:sz w:val="32"/>
          <w:szCs w:val="32"/>
          <w:lang w:eastAsia="zh-CN"/>
        </w:rPr>
        <w:t>工作</w:t>
      </w:r>
      <w:r>
        <w:rPr>
          <w:rFonts w:hint="eastAsia" w:ascii="仿宋_GB2312" w:hAnsi="仿宋" w:eastAsia="仿宋_GB2312"/>
          <w:sz w:val="32"/>
          <w:szCs w:val="32"/>
        </w:rPr>
        <w:t>指南执行。</w:t>
      </w:r>
    </w:p>
    <w:p>
      <w:pPr>
        <w:spacing w:line="660" w:lineRule="exact"/>
        <w:ind w:firstLine="645"/>
        <w:rPr>
          <w:rFonts w:ascii="黑体" w:hAnsi="黑体" w:eastAsia="黑体"/>
          <w:sz w:val="32"/>
          <w:szCs w:val="32"/>
        </w:rPr>
      </w:pPr>
      <w:r>
        <w:rPr>
          <w:rFonts w:hint="eastAsia" w:ascii="黑体" w:hAnsi="黑体" w:eastAsia="黑体"/>
          <w:sz w:val="32"/>
          <w:szCs w:val="32"/>
        </w:rPr>
        <w:t>二、企业报名</w:t>
      </w:r>
    </w:p>
    <w:p>
      <w:pPr>
        <w:spacing w:line="660" w:lineRule="exact"/>
        <w:ind w:firstLine="645"/>
        <w:rPr>
          <w:rFonts w:ascii="仿宋_GB2312" w:hAnsi="仿宋" w:eastAsia="仿宋_GB2312"/>
          <w:sz w:val="32"/>
          <w:szCs w:val="32"/>
        </w:rPr>
      </w:pPr>
      <w:r>
        <w:rPr>
          <w:rFonts w:hint="eastAsia" w:ascii="仿宋_GB2312" w:hAnsi="仿宋" w:eastAsia="仿宋_GB2312"/>
          <w:sz w:val="32"/>
          <w:szCs w:val="32"/>
        </w:rPr>
        <w:t>自愿申请参加202</w:t>
      </w:r>
      <w:r>
        <w:rPr>
          <w:rFonts w:hint="eastAsia" w:ascii="仿宋_GB2312" w:hAnsi="仿宋" w:eastAsia="仿宋_GB2312"/>
          <w:sz w:val="32"/>
          <w:szCs w:val="32"/>
          <w:lang w:val="en-US" w:eastAsia="zh-CN"/>
        </w:rPr>
        <w:t>3</w:t>
      </w:r>
      <w:r>
        <w:rPr>
          <w:rFonts w:hint="eastAsia" w:ascii="仿宋_GB2312" w:hAnsi="仿宋" w:eastAsia="仿宋_GB2312"/>
          <w:sz w:val="32"/>
          <w:szCs w:val="32"/>
        </w:rPr>
        <w:t>年教育装备行业企业信用等级评价的企业填写《教育装备行业企业信用等级评价报名表》（见附件</w:t>
      </w:r>
      <w:r>
        <w:rPr>
          <w:rFonts w:hint="eastAsia" w:ascii="仿宋_GB2312" w:hAnsi="仿宋" w:eastAsia="仿宋_GB2312"/>
          <w:sz w:val="32"/>
          <w:szCs w:val="32"/>
          <w:lang w:val="en-US" w:eastAsia="zh-CN"/>
        </w:rPr>
        <w:t>2</w:t>
      </w:r>
      <w:r>
        <w:rPr>
          <w:rFonts w:hint="eastAsia" w:ascii="仿宋_GB2312" w:hAnsi="仿宋" w:eastAsia="仿宋_GB2312"/>
          <w:sz w:val="32"/>
          <w:szCs w:val="32"/>
        </w:rPr>
        <w:t>），于4月1</w:t>
      </w:r>
      <w:r>
        <w:rPr>
          <w:rFonts w:hint="eastAsia" w:ascii="仿宋_GB2312" w:hAnsi="仿宋" w:eastAsia="仿宋_GB2312"/>
          <w:sz w:val="32"/>
          <w:szCs w:val="32"/>
          <w:lang w:val="en-US" w:eastAsia="zh-CN"/>
        </w:rPr>
        <w:t>4</w:t>
      </w:r>
      <w:r>
        <w:rPr>
          <w:rFonts w:hint="eastAsia" w:ascii="仿宋_GB2312" w:hAnsi="仿宋" w:eastAsia="仿宋_GB2312"/>
          <w:sz w:val="32"/>
          <w:szCs w:val="32"/>
        </w:rPr>
        <w:t>日前将盖好公章的电子版扫描件发送至信评工作</w:t>
      </w:r>
      <w:r>
        <w:rPr>
          <w:rFonts w:hint="eastAsia" w:ascii="仿宋_GB2312" w:hAnsi="仿宋" w:eastAsia="仿宋_GB2312"/>
          <w:sz w:val="32"/>
          <w:szCs w:val="32"/>
          <w:lang w:eastAsia="zh-CN"/>
        </w:rPr>
        <w:t>专用</w:t>
      </w:r>
      <w:r>
        <w:rPr>
          <w:rFonts w:hint="eastAsia" w:ascii="仿宋_GB2312" w:hAnsi="仿宋" w:eastAsia="仿宋_GB2312"/>
          <w:sz w:val="32"/>
          <w:szCs w:val="32"/>
        </w:rPr>
        <w:t>邮箱，并将报名表原件寄送到协会。</w:t>
      </w:r>
    </w:p>
    <w:p>
      <w:pPr>
        <w:spacing w:line="660" w:lineRule="exact"/>
        <w:ind w:firstLine="645"/>
        <w:rPr>
          <w:rFonts w:ascii="黑体" w:hAnsi="黑体" w:eastAsia="黑体"/>
          <w:sz w:val="32"/>
          <w:szCs w:val="32"/>
        </w:rPr>
      </w:pPr>
      <w:r>
        <w:rPr>
          <w:rFonts w:hint="eastAsia" w:ascii="黑体" w:hAnsi="黑体" w:eastAsia="黑体"/>
          <w:sz w:val="32"/>
          <w:szCs w:val="32"/>
        </w:rPr>
        <w:t>三、评价费用</w:t>
      </w:r>
    </w:p>
    <w:p>
      <w:pPr>
        <w:spacing w:line="660" w:lineRule="exact"/>
        <w:ind w:firstLine="640" w:firstLineChars="200"/>
        <w:rPr>
          <w:rFonts w:ascii="仿宋_GB2312" w:hAnsi="仿宋" w:eastAsia="仿宋_GB2312"/>
          <w:sz w:val="32"/>
          <w:szCs w:val="32"/>
        </w:rPr>
      </w:pPr>
      <w:r>
        <w:rPr>
          <w:rFonts w:hint="eastAsia" w:ascii="仿宋_GB2312" w:hAnsi="仿宋" w:eastAsia="仿宋_GB2312"/>
          <w:sz w:val="32"/>
          <w:szCs w:val="32"/>
        </w:rPr>
        <w:t>本次信用等级评价工作不向参评企业收取任何费用，信用评价工作所需的评审费、管理费和资料费由协会统一支出。</w:t>
      </w:r>
    </w:p>
    <w:p>
      <w:pPr>
        <w:spacing w:line="660" w:lineRule="exact"/>
        <w:ind w:firstLine="640" w:firstLineChars="200"/>
        <w:rPr>
          <w:rFonts w:ascii="仿宋_GB2312" w:hAnsi="仿宋" w:eastAsia="仿宋_GB2312"/>
          <w:sz w:val="32"/>
          <w:szCs w:val="32"/>
        </w:rPr>
      </w:pPr>
      <w:r>
        <w:rPr>
          <w:rFonts w:hint="eastAsia" w:ascii="黑体" w:hAnsi="黑体" w:eastAsia="黑体"/>
          <w:sz w:val="32"/>
          <w:szCs w:val="32"/>
        </w:rPr>
        <w:t>四、</w:t>
      </w:r>
      <w:r>
        <w:rPr>
          <w:rFonts w:hint="eastAsia" w:ascii="黑体" w:hAnsi="黑体" w:eastAsia="黑体" w:cs="仿宋_GB2312"/>
          <w:sz w:val="32"/>
          <w:szCs w:val="32"/>
          <w:shd w:val="clear" w:color="auto" w:fill="FFFFFF"/>
        </w:rPr>
        <w:t>评价有效期</w:t>
      </w:r>
    </w:p>
    <w:p>
      <w:pPr>
        <w:spacing w:line="6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 xml:space="preserve">    企业信用等级评价结果有效期三年，自发证之日起生效。</w:t>
      </w:r>
    </w:p>
    <w:p>
      <w:pPr>
        <w:spacing w:line="660" w:lineRule="exact"/>
        <w:ind w:firstLine="645"/>
        <w:rPr>
          <w:rFonts w:ascii="黑体" w:hAnsi="黑体" w:eastAsia="黑体"/>
          <w:sz w:val="32"/>
          <w:szCs w:val="32"/>
        </w:rPr>
      </w:pPr>
      <w:r>
        <w:rPr>
          <w:rFonts w:hint="eastAsia" w:ascii="黑体" w:hAnsi="黑体" w:eastAsia="黑体"/>
          <w:sz w:val="32"/>
          <w:szCs w:val="32"/>
        </w:rPr>
        <w:t>五、其它事项</w:t>
      </w:r>
    </w:p>
    <w:p>
      <w:pPr>
        <w:spacing w:line="660" w:lineRule="exact"/>
        <w:ind w:firstLine="645"/>
        <w:rPr>
          <w:rFonts w:ascii="仿宋_GB2312" w:hAnsi="仿宋" w:eastAsia="仿宋_GB2312"/>
          <w:sz w:val="32"/>
          <w:szCs w:val="32"/>
        </w:rPr>
      </w:pPr>
      <w:r>
        <w:rPr>
          <w:rFonts w:hint="eastAsia" w:ascii="仿宋_GB2312" w:hAnsi="仿宋" w:eastAsia="仿宋_GB2312"/>
          <w:sz w:val="32"/>
          <w:szCs w:val="32"/>
        </w:rPr>
        <w:t>信用等级有效期</w:t>
      </w:r>
      <w:r>
        <w:rPr>
          <w:rFonts w:hint="eastAsia" w:ascii="仿宋_GB2312" w:hAnsi="仿宋" w:eastAsia="仿宋_GB2312"/>
          <w:sz w:val="32"/>
          <w:szCs w:val="32"/>
          <w:lang w:eastAsia="zh-CN"/>
        </w:rPr>
        <w:t>今年</w:t>
      </w:r>
      <w:r>
        <w:rPr>
          <w:rFonts w:hint="eastAsia" w:ascii="仿宋_GB2312" w:hAnsi="仿宋" w:eastAsia="仿宋_GB2312"/>
          <w:sz w:val="32"/>
          <w:szCs w:val="32"/>
        </w:rPr>
        <w:t>即将到期的企业无需报名可与今年新获得参评资格企业一起重新参加评价，具体事宜在协会确定202</w:t>
      </w:r>
      <w:r>
        <w:rPr>
          <w:rFonts w:hint="eastAsia" w:ascii="仿宋_GB2312" w:hAnsi="仿宋" w:eastAsia="仿宋_GB2312"/>
          <w:sz w:val="32"/>
          <w:szCs w:val="32"/>
          <w:lang w:val="en-US" w:eastAsia="zh-CN"/>
        </w:rPr>
        <w:t>3</w:t>
      </w:r>
      <w:r>
        <w:rPr>
          <w:rFonts w:hint="eastAsia" w:ascii="仿宋_GB2312" w:hAnsi="仿宋" w:eastAsia="仿宋_GB2312"/>
          <w:sz w:val="32"/>
          <w:szCs w:val="32"/>
        </w:rPr>
        <w:t>年新参评企业名单时一起通知。已获评信用等级企业的</w:t>
      </w:r>
      <w:r>
        <w:rPr>
          <w:rFonts w:hint="eastAsia" w:ascii="仿宋_GB2312" w:hAnsi="仿宋" w:eastAsia="仿宋_GB2312"/>
          <w:sz w:val="32"/>
          <w:szCs w:val="32"/>
          <w:lang w:eastAsia="zh-CN"/>
        </w:rPr>
        <w:t>信用信息动态监测</w:t>
      </w:r>
      <w:r>
        <w:rPr>
          <w:rFonts w:hint="eastAsia" w:ascii="仿宋_GB2312" w:hAnsi="仿宋" w:eastAsia="仿宋_GB2312"/>
          <w:sz w:val="32"/>
          <w:szCs w:val="32"/>
        </w:rPr>
        <w:t>工作，协会将结合企业社会信用信息进行，无特殊情况不需再提交</w:t>
      </w:r>
      <w:r>
        <w:rPr>
          <w:rFonts w:hint="eastAsia" w:ascii="仿宋_GB2312" w:hAnsi="仿宋" w:eastAsia="仿宋_GB2312"/>
          <w:sz w:val="32"/>
          <w:szCs w:val="32"/>
          <w:lang w:eastAsia="zh-CN"/>
        </w:rPr>
        <w:t>相关</w:t>
      </w:r>
      <w:r>
        <w:rPr>
          <w:rFonts w:hint="eastAsia" w:ascii="仿宋_GB2312" w:hAnsi="仿宋" w:eastAsia="仿宋_GB2312"/>
          <w:sz w:val="32"/>
          <w:szCs w:val="32"/>
        </w:rPr>
        <w:t>资料。</w:t>
      </w:r>
    </w:p>
    <w:p>
      <w:pPr>
        <w:spacing w:line="660" w:lineRule="exact"/>
        <w:ind w:firstLine="645"/>
        <w:rPr>
          <w:rFonts w:ascii="仿宋_GB2312" w:hAnsi="仿宋" w:eastAsia="仿宋_GB2312"/>
          <w:sz w:val="32"/>
          <w:szCs w:val="32"/>
        </w:rPr>
      </w:pPr>
      <w:r>
        <w:rPr>
          <w:rFonts w:hint="eastAsia" w:ascii="仿宋_GB2312" w:hAnsi="仿宋" w:eastAsia="仿宋_GB2312"/>
          <w:sz w:val="32"/>
          <w:szCs w:val="32"/>
        </w:rPr>
        <w:t>联系人：李守国</w:t>
      </w:r>
      <w:r>
        <w:rPr>
          <w:rFonts w:hint="eastAsia" w:ascii="仿宋_GB2312" w:hAnsi="仿宋" w:eastAsia="仿宋_GB2312"/>
          <w:sz w:val="32"/>
          <w:szCs w:val="32"/>
          <w:lang w:eastAsia="zh-CN"/>
        </w:rPr>
        <w:t>（</w:t>
      </w:r>
      <w:r>
        <w:rPr>
          <w:rFonts w:hint="eastAsia" w:ascii="仿宋_GB2312" w:hAnsi="仿宋" w:eastAsia="仿宋_GB2312"/>
          <w:sz w:val="32"/>
          <w:szCs w:val="32"/>
          <w:lang w:val="en-US" w:eastAsia="zh-CN"/>
        </w:rPr>
        <w:t>010-59893193</w:t>
      </w:r>
      <w:r>
        <w:rPr>
          <w:rFonts w:hint="eastAsia" w:ascii="仿宋_GB2312" w:hAnsi="仿宋" w:eastAsia="仿宋_GB2312"/>
          <w:sz w:val="32"/>
          <w:szCs w:val="32"/>
          <w:lang w:eastAsia="zh-CN"/>
        </w:rPr>
        <w:t>）、</w:t>
      </w:r>
      <w:r>
        <w:rPr>
          <w:rFonts w:hint="eastAsia" w:ascii="仿宋_GB2312" w:hAnsi="仿宋" w:eastAsia="仿宋_GB2312"/>
          <w:sz w:val="32"/>
          <w:szCs w:val="32"/>
        </w:rPr>
        <w:t>13601174493</w:t>
      </w:r>
    </w:p>
    <w:p>
      <w:pPr>
        <w:spacing w:line="660" w:lineRule="exact"/>
        <w:ind w:firstLine="645"/>
        <w:rPr>
          <w:rFonts w:ascii="仿宋_GB2312" w:hAnsi="仿宋" w:eastAsia="仿宋_GB2312"/>
          <w:sz w:val="32"/>
          <w:szCs w:val="32"/>
        </w:rPr>
      </w:pPr>
      <w:r>
        <w:rPr>
          <w:rFonts w:hint="eastAsia" w:ascii="仿宋_GB2312" w:hAnsi="仿宋" w:eastAsia="仿宋_GB2312"/>
          <w:sz w:val="32"/>
          <w:szCs w:val="32"/>
        </w:rPr>
        <w:t xml:space="preserve">        马  彤</w:t>
      </w:r>
      <w:r>
        <w:rPr>
          <w:rFonts w:hint="eastAsia" w:ascii="仿宋_GB2312" w:hAnsi="仿宋" w:eastAsia="仿宋_GB2312"/>
          <w:sz w:val="32"/>
          <w:szCs w:val="32"/>
          <w:lang w:eastAsia="zh-CN"/>
        </w:rPr>
        <w:t>（</w:t>
      </w:r>
      <w:r>
        <w:rPr>
          <w:rFonts w:hint="eastAsia" w:ascii="仿宋_GB2312" w:hAnsi="仿宋" w:eastAsia="仿宋_GB2312"/>
          <w:sz w:val="32"/>
          <w:szCs w:val="32"/>
          <w:lang w:val="en-US" w:eastAsia="zh-CN"/>
        </w:rPr>
        <w:t>010-59893191</w:t>
      </w:r>
      <w:r>
        <w:rPr>
          <w:rFonts w:hint="eastAsia" w:ascii="仿宋_GB2312" w:hAnsi="仿宋" w:eastAsia="仿宋_GB2312"/>
          <w:sz w:val="32"/>
          <w:szCs w:val="32"/>
          <w:lang w:eastAsia="zh-CN"/>
        </w:rPr>
        <w:t>）、</w:t>
      </w:r>
      <w:r>
        <w:rPr>
          <w:rFonts w:hint="eastAsia" w:ascii="仿宋_GB2312" w:hAnsi="仿宋" w:eastAsia="仿宋_GB2312"/>
          <w:sz w:val="32"/>
          <w:szCs w:val="32"/>
        </w:rPr>
        <w:t>13488836665</w:t>
      </w:r>
      <w:r>
        <w:rPr>
          <w:rFonts w:ascii="仿宋_GB2312" w:hAnsi="仿宋" w:eastAsia="仿宋_GB2312"/>
          <w:sz w:val="32"/>
          <w:szCs w:val="32"/>
        </w:rPr>
        <w:t xml:space="preserve"> </w:t>
      </w:r>
    </w:p>
    <w:p>
      <w:pPr>
        <w:spacing w:line="660" w:lineRule="exact"/>
        <w:ind w:firstLine="645"/>
        <w:rPr>
          <w:rFonts w:ascii="仿宋_GB2312" w:hAnsi="仿宋" w:eastAsia="仿宋_GB2312"/>
          <w:sz w:val="32"/>
          <w:szCs w:val="32"/>
        </w:rPr>
      </w:pPr>
      <w:r>
        <w:rPr>
          <w:rFonts w:hint="eastAsia" w:ascii="仿宋_GB2312" w:hAnsi="仿宋" w:eastAsia="仿宋_GB2312"/>
          <w:sz w:val="32"/>
          <w:szCs w:val="32"/>
        </w:rPr>
        <w:t>信评工作邮箱：</w:t>
      </w:r>
      <w:r>
        <w:rPr>
          <w:rFonts w:ascii="仿宋_GB2312" w:hAnsi="仿宋" w:eastAsia="仿宋_GB2312"/>
          <w:sz w:val="32"/>
          <w:szCs w:val="32"/>
        </w:rPr>
        <w:t>xpb</w:t>
      </w:r>
      <w:r>
        <w:rPr>
          <w:rFonts w:hint="eastAsia" w:ascii="方正小标宋_GBK" w:hAnsi="仿宋" w:eastAsia="方正小标宋_GBK"/>
          <w:sz w:val="32"/>
          <w:szCs w:val="32"/>
        </w:rPr>
        <w:t>@</w:t>
      </w:r>
      <w:r>
        <w:rPr>
          <w:rFonts w:ascii="仿宋_GB2312" w:hAnsi="仿宋" w:eastAsia="仿宋_GB2312"/>
          <w:sz w:val="32"/>
          <w:szCs w:val="32"/>
        </w:rPr>
        <w:t>ceeia.cn</w:t>
      </w:r>
    </w:p>
    <w:p>
      <w:pPr>
        <w:spacing w:line="660" w:lineRule="exact"/>
        <w:ind w:firstLine="645"/>
        <w:rPr>
          <w:rFonts w:hint="eastAsia" w:ascii="仿宋_GB2312" w:hAnsi="仿宋" w:eastAsia="仿宋_GB2312"/>
          <w:sz w:val="32"/>
          <w:szCs w:val="32"/>
        </w:rPr>
      </w:pPr>
      <w:r>
        <w:rPr>
          <w:rFonts w:hint="eastAsia" w:ascii="仿宋_GB2312" w:hAnsi="仿宋" w:eastAsia="仿宋_GB2312"/>
          <w:sz w:val="32"/>
          <w:szCs w:val="32"/>
        </w:rPr>
        <w:t>联系地址：北京市海淀区文慧园北路</w:t>
      </w:r>
      <w:r>
        <w:rPr>
          <w:rFonts w:ascii="仿宋_GB2312" w:hAnsi="仿宋" w:eastAsia="仿宋_GB2312"/>
          <w:sz w:val="32"/>
          <w:szCs w:val="32"/>
        </w:rPr>
        <w:t>10</w:t>
      </w:r>
      <w:r>
        <w:rPr>
          <w:rFonts w:hint="eastAsia" w:ascii="仿宋_GB2312" w:hAnsi="仿宋" w:eastAsia="仿宋_GB2312"/>
          <w:sz w:val="32"/>
          <w:szCs w:val="32"/>
        </w:rPr>
        <w:t>号</w:t>
      </w:r>
    </w:p>
    <w:p>
      <w:pPr>
        <w:spacing w:line="660" w:lineRule="exact"/>
        <w:ind w:firstLine="2262" w:firstLineChars="707"/>
        <w:rPr>
          <w:rFonts w:hint="eastAsia" w:ascii="仿宋_GB2312" w:hAnsi="仿宋" w:eastAsia="仿宋_GB2312"/>
          <w:sz w:val="32"/>
          <w:szCs w:val="32"/>
        </w:rPr>
      </w:pPr>
      <w:r>
        <w:rPr>
          <w:rFonts w:hint="eastAsia" w:ascii="仿宋_GB2312" w:hAnsi="仿宋" w:eastAsia="仿宋_GB2312"/>
          <w:sz w:val="32"/>
          <w:szCs w:val="32"/>
          <w:lang w:eastAsia="zh-CN"/>
        </w:rPr>
        <w:t>中国教育装备行业协会办公楼</w:t>
      </w:r>
      <w:r>
        <w:rPr>
          <w:rFonts w:hint="eastAsia" w:ascii="仿宋_GB2312" w:hAnsi="仿宋" w:eastAsia="仿宋_GB2312"/>
          <w:sz w:val="32"/>
          <w:szCs w:val="32"/>
          <w:lang w:val="en-US" w:eastAsia="zh-CN"/>
        </w:rPr>
        <w:t>202室</w:t>
      </w:r>
    </w:p>
    <w:p>
      <w:pPr>
        <w:spacing w:line="660" w:lineRule="exact"/>
        <w:ind w:firstLine="645"/>
        <w:rPr>
          <w:rFonts w:ascii="仿宋_GB2312" w:hAnsi="仿宋" w:eastAsia="仿宋_GB2312"/>
          <w:sz w:val="32"/>
          <w:szCs w:val="32"/>
        </w:rPr>
      </w:pPr>
      <w:r>
        <w:rPr>
          <w:rFonts w:hint="eastAsia" w:ascii="仿宋_GB2312" w:hAnsi="仿宋" w:eastAsia="仿宋_GB2312"/>
          <w:sz w:val="32"/>
          <w:szCs w:val="32"/>
        </w:rPr>
        <w:t>邮政编码：</w:t>
      </w:r>
      <w:r>
        <w:rPr>
          <w:rFonts w:ascii="仿宋_GB2312" w:hAnsi="仿宋" w:eastAsia="仿宋_GB2312"/>
          <w:sz w:val="32"/>
          <w:szCs w:val="32"/>
        </w:rPr>
        <w:t xml:space="preserve">100082     </w:t>
      </w:r>
    </w:p>
    <w:p>
      <w:pPr>
        <w:spacing w:line="660" w:lineRule="exact"/>
        <w:ind w:firstLine="645"/>
        <w:rPr>
          <w:rFonts w:ascii="仿宋" w:hAnsi="仿宋" w:eastAsia="仿宋"/>
          <w:sz w:val="32"/>
          <w:szCs w:val="32"/>
        </w:rPr>
      </w:pPr>
      <w:r>
        <w:rPr>
          <w:rFonts w:hint="eastAsia" w:ascii="仿宋" w:hAnsi="仿宋" w:eastAsia="仿宋"/>
          <w:sz w:val="32"/>
          <w:szCs w:val="32"/>
        </w:rPr>
        <w:t>协会网址：</w:t>
      </w:r>
      <w:r>
        <w:fldChar w:fldCharType="begin"/>
      </w:r>
      <w:r>
        <w:instrText xml:space="preserve"> HYPERLINK "http://www.ceeia.cn" </w:instrText>
      </w:r>
      <w:r>
        <w:fldChar w:fldCharType="separate"/>
      </w:r>
      <w:r>
        <w:rPr>
          <w:rFonts w:hint="eastAsia" w:ascii="仿宋" w:hAnsi="仿宋" w:eastAsia="仿宋"/>
          <w:sz w:val="32"/>
          <w:szCs w:val="32"/>
        </w:rPr>
        <w:t>http://www.</w:t>
      </w:r>
      <w:r>
        <w:rPr>
          <w:rFonts w:ascii="仿宋" w:hAnsi="仿宋" w:eastAsia="仿宋"/>
          <w:sz w:val="32"/>
          <w:szCs w:val="32"/>
        </w:rPr>
        <w:t>ceeia.cn</w:t>
      </w:r>
      <w:r>
        <w:rPr>
          <w:rFonts w:ascii="仿宋" w:hAnsi="仿宋" w:eastAsia="仿宋"/>
          <w:sz w:val="32"/>
          <w:szCs w:val="32"/>
        </w:rPr>
        <w:fldChar w:fldCharType="end"/>
      </w:r>
    </w:p>
    <w:p>
      <w:pPr>
        <w:spacing w:line="660" w:lineRule="exact"/>
        <w:ind w:firstLine="645"/>
        <w:rPr>
          <w:rFonts w:ascii="仿宋_GB2312" w:hAnsi="仿宋" w:eastAsia="仿宋_GB2312"/>
          <w:sz w:val="32"/>
          <w:szCs w:val="32"/>
        </w:rPr>
      </w:pPr>
    </w:p>
    <w:p>
      <w:pPr>
        <w:spacing w:line="660" w:lineRule="exact"/>
        <w:ind w:left="1918" w:leftChars="304" w:hanging="1280" w:hangingChars="400"/>
        <w:rPr>
          <w:rFonts w:hint="eastAsia" w:ascii="仿宋_GB2312" w:hAnsi="仿宋" w:eastAsia="仿宋_GB2312"/>
          <w:sz w:val="32"/>
          <w:szCs w:val="32"/>
          <w:lang w:eastAsia="zh-CN"/>
        </w:rPr>
      </w:pPr>
      <w:r>
        <w:rPr>
          <w:rFonts w:hint="eastAsia" w:ascii="仿宋_GB2312" w:hAnsi="仿宋" w:eastAsia="仿宋_GB2312"/>
          <w:sz w:val="32"/>
          <w:szCs w:val="32"/>
        </w:rPr>
        <w:t>附件：1.中国教育装备行业企业信用评价工作指南</w:t>
      </w:r>
      <w:r>
        <w:rPr>
          <w:rFonts w:hint="eastAsia" w:ascii="仿宋_GB2312" w:hAnsi="仿宋" w:eastAsia="仿宋_GB2312"/>
          <w:sz w:val="32"/>
          <w:szCs w:val="32"/>
          <w:lang w:eastAsia="zh-CN"/>
        </w:rPr>
        <w:t>（</w:t>
      </w:r>
      <w:r>
        <w:rPr>
          <w:rFonts w:hint="eastAsia" w:ascii="仿宋_GB2312" w:hAnsi="仿宋" w:eastAsia="仿宋_GB2312"/>
          <w:sz w:val="32"/>
          <w:szCs w:val="32"/>
          <w:lang w:val="en-US" w:eastAsia="zh-CN"/>
        </w:rPr>
        <w:t>2023版</w:t>
      </w:r>
      <w:r>
        <w:rPr>
          <w:rFonts w:hint="eastAsia" w:ascii="仿宋_GB2312" w:hAnsi="仿宋" w:eastAsia="仿宋_GB2312"/>
          <w:sz w:val="32"/>
          <w:szCs w:val="32"/>
          <w:lang w:eastAsia="zh-CN"/>
        </w:rPr>
        <w:t>）</w:t>
      </w:r>
    </w:p>
    <w:p>
      <w:pPr>
        <w:spacing w:line="660" w:lineRule="exact"/>
        <w:ind w:firstLine="645"/>
        <w:rPr>
          <w:rFonts w:ascii="仿宋_GB2312" w:hAnsi="仿宋" w:eastAsia="仿宋_GB2312"/>
          <w:sz w:val="32"/>
          <w:szCs w:val="32"/>
        </w:rPr>
      </w:pPr>
      <w:r>
        <w:rPr>
          <w:rFonts w:hint="eastAsia" w:ascii="仿宋_GB2312" w:hAnsi="仿宋" w:eastAsia="仿宋_GB2312"/>
          <w:sz w:val="32"/>
          <w:szCs w:val="32"/>
        </w:rPr>
        <w:t xml:space="preserve">     </w:t>
      </w:r>
      <w:r>
        <w:rPr>
          <w:rFonts w:hint="eastAsia" w:ascii="仿宋_GB2312" w:hAnsi="仿宋" w:eastAsia="仿宋_GB2312"/>
          <w:sz w:val="32"/>
          <w:szCs w:val="32"/>
          <w:lang w:val="en-US" w:eastAsia="zh-CN"/>
        </w:rPr>
        <w:t xml:space="preserve"> </w:t>
      </w:r>
      <w:r>
        <w:rPr>
          <w:rFonts w:hint="eastAsia" w:ascii="仿宋_GB2312" w:hAnsi="仿宋" w:eastAsia="仿宋_GB2312"/>
          <w:sz w:val="32"/>
          <w:szCs w:val="32"/>
        </w:rPr>
        <w:t>2.教育装备行业企业信用等级评价报名表</w:t>
      </w:r>
    </w:p>
    <w:p>
      <w:pPr>
        <w:spacing w:line="540" w:lineRule="exact"/>
        <w:rPr>
          <w:rFonts w:ascii="仿宋_GB2312" w:hAnsi="仿宋" w:eastAsia="仿宋_GB2312"/>
          <w:sz w:val="32"/>
          <w:szCs w:val="32"/>
        </w:rPr>
      </w:pPr>
    </w:p>
    <w:p>
      <w:pPr>
        <w:wordWrap w:val="0"/>
        <w:spacing w:line="540" w:lineRule="exact"/>
        <w:ind w:left="600" w:right="320"/>
        <w:jc w:val="right"/>
        <w:rPr>
          <w:rFonts w:ascii="仿宋_GB2312" w:hAnsi="仿宋" w:eastAsia="仿宋_GB2312"/>
          <w:color w:val="000000"/>
          <w:sz w:val="32"/>
          <w:szCs w:val="32"/>
        </w:rPr>
      </w:pPr>
    </w:p>
    <w:p>
      <w:pPr>
        <w:spacing w:line="540" w:lineRule="exact"/>
        <w:ind w:left="600" w:right="640"/>
        <w:jc w:val="right"/>
        <w:rPr>
          <w:rFonts w:ascii="仿宋_GB2312" w:hAnsi="仿宋" w:eastAsia="仿宋_GB2312"/>
          <w:color w:val="000000"/>
          <w:sz w:val="32"/>
          <w:szCs w:val="32"/>
        </w:rPr>
      </w:pPr>
      <w:r>
        <w:rPr>
          <w:rFonts w:hint="eastAsia" w:ascii="仿宋_GB2312" w:hAnsi="仿宋" w:eastAsia="仿宋_GB2312"/>
          <w:color w:val="000000"/>
          <w:sz w:val="32"/>
          <w:szCs w:val="32"/>
        </w:rPr>
        <w:t>中国教育装备行业协会</w:t>
      </w:r>
    </w:p>
    <w:p>
      <w:pPr>
        <w:spacing w:line="540" w:lineRule="exact"/>
        <w:ind w:left="600" w:right="800"/>
        <w:jc w:val="right"/>
        <w:rPr>
          <w:rFonts w:ascii="仿宋_GB2312" w:hAnsi="仿宋" w:eastAsia="仿宋_GB2312"/>
          <w:color w:val="000000"/>
          <w:sz w:val="32"/>
          <w:szCs w:val="32"/>
        </w:rPr>
      </w:pPr>
      <w:r>
        <w:rPr>
          <w:rFonts w:hint="eastAsia" w:ascii="仿宋_GB2312" w:hAnsi="仿宋" w:eastAsia="仿宋_GB2312"/>
          <w:color w:val="000000"/>
          <w:sz w:val="32"/>
          <w:szCs w:val="32"/>
        </w:rPr>
        <w:t>信用评价工作委员会</w:t>
      </w:r>
      <w:r>
        <w:rPr>
          <w:rFonts w:ascii="仿宋_GB2312" w:hAnsi="仿宋" w:eastAsia="仿宋_GB2312"/>
          <w:color w:val="000000"/>
          <w:sz w:val="32"/>
          <w:szCs w:val="32"/>
        </w:rPr>
        <w:t xml:space="preserve"> </w:t>
      </w:r>
    </w:p>
    <w:p>
      <w:pPr>
        <w:spacing w:line="540" w:lineRule="exact"/>
        <w:ind w:left="600" w:right="960"/>
        <w:jc w:val="right"/>
        <w:rPr>
          <w:rFonts w:ascii="仿宋_GB2312" w:hAnsi="仿宋" w:eastAsia="仿宋_GB2312"/>
          <w:color w:val="000000"/>
          <w:sz w:val="32"/>
          <w:szCs w:val="32"/>
        </w:rPr>
      </w:pPr>
      <w:r>
        <w:rPr>
          <w:rFonts w:hint="eastAsia" w:ascii="仿宋_GB2312" w:hAnsi="仿宋" w:eastAsia="仿宋_GB2312"/>
          <w:color w:val="000000"/>
          <w:sz w:val="32"/>
          <w:szCs w:val="32"/>
        </w:rPr>
        <w:t>202</w:t>
      </w:r>
      <w:r>
        <w:rPr>
          <w:rFonts w:hint="eastAsia" w:ascii="仿宋_GB2312" w:hAnsi="仿宋" w:eastAsia="仿宋_GB2312"/>
          <w:color w:val="000000"/>
          <w:sz w:val="32"/>
          <w:szCs w:val="32"/>
          <w:lang w:val="en-US" w:eastAsia="zh-CN"/>
        </w:rPr>
        <w:t>3</w:t>
      </w:r>
      <w:r>
        <w:rPr>
          <w:rFonts w:hint="eastAsia" w:ascii="仿宋_GB2312" w:hAnsi="仿宋" w:eastAsia="仿宋_GB2312"/>
          <w:color w:val="000000"/>
          <w:sz w:val="32"/>
          <w:szCs w:val="32"/>
        </w:rPr>
        <w:t>年3月</w:t>
      </w:r>
      <w:r>
        <w:rPr>
          <w:rFonts w:hint="eastAsia" w:ascii="仿宋_GB2312" w:hAnsi="仿宋" w:eastAsia="仿宋_GB2312"/>
          <w:color w:val="000000"/>
          <w:sz w:val="32"/>
          <w:szCs w:val="32"/>
          <w:lang w:val="en-US" w:eastAsia="zh-CN"/>
        </w:rPr>
        <w:t>10</w:t>
      </w:r>
      <w:r>
        <w:rPr>
          <w:rFonts w:hint="eastAsia" w:ascii="仿宋_GB2312" w:hAnsi="仿宋" w:eastAsia="仿宋_GB2312"/>
          <w:color w:val="000000"/>
          <w:sz w:val="32"/>
          <w:szCs w:val="32"/>
        </w:rPr>
        <w:t>日</w:t>
      </w:r>
    </w:p>
    <w:p>
      <w:pPr>
        <w:rPr>
          <w:rFonts w:ascii="仿宋" w:hAnsi="仿宋" w:eastAsia="仿宋"/>
          <w:w w:val="96"/>
          <w:sz w:val="32"/>
          <w:szCs w:val="32"/>
        </w:rPr>
      </w:pPr>
    </w:p>
    <w:p>
      <w:pPr>
        <w:jc w:val="left"/>
        <w:rPr>
          <w:rFonts w:ascii="仿宋" w:hAnsi="仿宋" w:eastAsia="仿宋"/>
          <w:b/>
          <w:w w:val="96"/>
          <w:sz w:val="32"/>
          <w:szCs w:val="32"/>
        </w:rPr>
      </w:pPr>
    </w:p>
    <w:p>
      <w:pPr>
        <w:jc w:val="left"/>
        <w:rPr>
          <w:rFonts w:ascii="仿宋" w:hAnsi="仿宋" w:eastAsia="仿宋"/>
          <w:b/>
          <w:w w:val="96"/>
          <w:sz w:val="32"/>
          <w:szCs w:val="32"/>
        </w:rPr>
      </w:pPr>
    </w:p>
    <w:p>
      <w:pPr>
        <w:jc w:val="left"/>
        <w:rPr>
          <w:rFonts w:ascii="仿宋" w:hAnsi="仿宋" w:eastAsia="仿宋"/>
          <w:b/>
          <w:w w:val="96"/>
          <w:sz w:val="32"/>
          <w:szCs w:val="32"/>
        </w:rPr>
      </w:pPr>
    </w:p>
    <w:p>
      <w:pPr>
        <w:jc w:val="left"/>
        <w:rPr>
          <w:rFonts w:ascii="仿宋" w:hAnsi="仿宋" w:eastAsia="仿宋"/>
          <w:b/>
          <w:w w:val="96"/>
          <w:sz w:val="32"/>
          <w:szCs w:val="32"/>
        </w:rPr>
      </w:pPr>
    </w:p>
    <w:p>
      <w:pPr>
        <w:jc w:val="left"/>
        <w:rPr>
          <w:rFonts w:ascii="仿宋" w:hAnsi="仿宋" w:eastAsia="仿宋"/>
          <w:b/>
          <w:w w:val="96"/>
          <w:sz w:val="32"/>
          <w:szCs w:val="32"/>
        </w:rPr>
      </w:pPr>
    </w:p>
    <w:p>
      <w:pPr>
        <w:jc w:val="left"/>
        <w:rPr>
          <w:rFonts w:ascii="仿宋" w:hAnsi="仿宋" w:eastAsia="仿宋"/>
          <w:b/>
          <w:w w:val="96"/>
          <w:sz w:val="32"/>
          <w:szCs w:val="32"/>
        </w:rPr>
      </w:pPr>
    </w:p>
    <w:p>
      <w:pPr>
        <w:jc w:val="left"/>
        <w:rPr>
          <w:rFonts w:ascii="仿宋" w:hAnsi="仿宋" w:eastAsia="仿宋"/>
          <w:b/>
          <w:w w:val="96"/>
          <w:sz w:val="32"/>
          <w:szCs w:val="32"/>
        </w:rPr>
      </w:pPr>
    </w:p>
    <w:p>
      <w:pPr>
        <w:jc w:val="left"/>
        <w:rPr>
          <w:rFonts w:ascii="仿宋" w:hAnsi="仿宋" w:eastAsia="仿宋"/>
          <w:b/>
          <w:w w:val="96"/>
          <w:sz w:val="32"/>
          <w:szCs w:val="32"/>
        </w:rPr>
      </w:pPr>
    </w:p>
    <w:p>
      <w:pPr>
        <w:jc w:val="left"/>
        <w:rPr>
          <w:rFonts w:ascii="仿宋" w:hAnsi="仿宋" w:eastAsia="仿宋"/>
          <w:b/>
          <w:w w:val="96"/>
          <w:sz w:val="32"/>
          <w:szCs w:val="32"/>
        </w:rPr>
      </w:pPr>
    </w:p>
    <w:p>
      <w:pPr>
        <w:jc w:val="left"/>
        <w:rPr>
          <w:rFonts w:ascii="仿宋" w:hAnsi="仿宋" w:eastAsia="仿宋"/>
          <w:b/>
          <w:w w:val="96"/>
          <w:sz w:val="32"/>
          <w:szCs w:val="32"/>
        </w:rPr>
      </w:pPr>
    </w:p>
    <w:p>
      <w:pPr>
        <w:rPr>
          <w:rFonts w:hint="eastAsia" w:ascii="黑体" w:hAnsi="黑体" w:eastAsia="黑体" w:cs="黑体"/>
          <w:sz w:val="32"/>
          <w:szCs w:val="32"/>
        </w:rPr>
      </w:pPr>
      <w:r>
        <w:rPr>
          <w:rFonts w:hint="eastAsia" w:ascii="黑体" w:hAnsi="黑体" w:eastAsia="黑体" w:cs="黑体"/>
          <w:sz w:val="32"/>
          <w:szCs w:val="32"/>
        </w:rPr>
        <w:t>附件1</w:t>
      </w:r>
    </w:p>
    <w:p>
      <w:pPr>
        <w:spacing w:line="240" w:lineRule="atLeas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中国教育装备行业企业信用评价</w:t>
      </w:r>
    </w:p>
    <w:p>
      <w:pPr>
        <w:spacing w:line="240" w:lineRule="atLeas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工作指南</w:t>
      </w:r>
    </w:p>
    <w:p>
      <w:pPr>
        <w:spacing w:line="240" w:lineRule="atLeast"/>
        <w:jc w:val="center"/>
        <w:rPr>
          <w:rFonts w:hint="eastAsia" w:ascii="方正小标宋_GBK" w:hAnsi="方正小标宋_GBK" w:eastAsia="方正小标宋简体" w:cs="方正小标宋_GBK"/>
          <w:sz w:val="32"/>
          <w:szCs w:val="32"/>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3</w:t>
      </w:r>
      <w:r>
        <w:rPr>
          <w:rFonts w:hint="eastAsia" w:ascii="方正小标宋简体" w:hAnsi="方正小标宋简体" w:eastAsia="方正小标宋简体" w:cs="方正小标宋简体"/>
          <w:sz w:val="44"/>
          <w:szCs w:val="44"/>
        </w:rPr>
        <w:t>版）</w:t>
      </w:r>
    </w:p>
    <w:p>
      <w:pPr>
        <w:spacing w:line="420" w:lineRule="exact"/>
        <w:rPr>
          <w:rFonts w:hint="eastAsia" w:ascii="仿宋_GB2312" w:hAnsi="华文中宋" w:eastAsia="仿宋_GB2312"/>
          <w:b/>
          <w:color w:val="000000"/>
          <w:sz w:val="24"/>
        </w:rPr>
      </w:pPr>
    </w:p>
    <w:p>
      <w:pPr>
        <w:ind w:firstLine="640" w:firstLineChars="200"/>
      </w:pPr>
      <w:r>
        <w:rPr>
          <w:rFonts w:hint="eastAsia" w:ascii="仿宋_GB2312" w:hAnsi="仿宋_GB2312" w:eastAsia="仿宋_GB2312" w:cs="仿宋_GB2312"/>
          <w:sz w:val="32"/>
          <w:szCs w:val="32"/>
        </w:rPr>
        <w:t>为贯彻落实党中央、国务院关于推进诚信建设的决策部署，根据</w:t>
      </w:r>
      <w:r>
        <w:rPr>
          <w:rFonts w:hint="eastAsia" w:ascii="仿宋_GB2312" w:hAnsi="仿宋_GB2312" w:eastAsia="仿宋_GB2312" w:cs="仿宋_GB2312"/>
          <w:i w:val="0"/>
          <w:iCs w:val="0"/>
          <w:caps w:val="0"/>
          <w:color w:val="auto"/>
          <w:spacing w:val="0"/>
          <w:sz w:val="32"/>
          <w:szCs w:val="32"/>
          <w:shd w:val="clear" w:fill="FFFFFF"/>
        </w:rPr>
        <w:t>中共中央办公厅、国务院办公厅</w:t>
      </w:r>
      <w:r>
        <w:rPr>
          <w:rFonts w:hint="eastAsia" w:ascii="仿宋_GB2312" w:hAnsi="仿宋_GB2312" w:eastAsia="仿宋_GB2312" w:cs="仿宋_GB2312"/>
          <w:i w:val="0"/>
          <w:iCs w:val="0"/>
          <w:caps w:val="0"/>
          <w:color w:val="auto"/>
          <w:spacing w:val="0"/>
          <w:sz w:val="32"/>
          <w:szCs w:val="32"/>
        </w:rPr>
        <w:t>《</w:t>
      </w:r>
      <w:r>
        <w:rPr>
          <w:rFonts w:hint="eastAsia" w:ascii="仿宋_GB2312" w:hAnsi="仿宋_GB2312" w:eastAsia="仿宋_GB2312" w:cs="仿宋_GB2312"/>
          <w:i w:val="0"/>
          <w:iCs w:val="0"/>
          <w:caps w:val="0"/>
          <w:color w:val="auto"/>
          <w:spacing w:val="0"/>
          <w:sz w:val="30"/>
          <w:szCs w:val="30"/>
        </w:rPr>
        <w:t>关于推进社</w:t>
      </w:r>
      <w:r>
        <w:rPr>
          <w:rFonts w:hint="eastAsia" w:ascii="仿宋_GB2312" w:hAnsi="仿宋_GB2312" w:eastAsia="仿宋_GB2312" w:cs="仿宋_GB2312"/>
          <w:i w:val="0"/>
          <w:iCs w:val="0"/>
          <w:caps w:val="0"/>
          <w:color w:val="auto"/>
          <w:spacing w:val="0"/>
          <w:sz w:val="32"/>
          <w:szCs w:val="32"/>
        </w:rPr>
        <w:t>会信用体系建设高质量发展  促进形成新发展格局的意见》</w:t>
      </w:r>
      <w:r>
        <w:rPr>
          <w:rFonts w:hint="eastAsia" w:ascii="仿宋_GB2312" w:hAnsi="仿宋_GB2312" w:eastAsia="仿宋_GB2312" w:cs="仿宋_GB2312"/>
          <w:sz w:val="32"/>
          <w:szCs w:val="32"/>
        </w:rPr>
        <w:t>等文件要求，为加快推进教育装备行业信用体系建设规范化进程，中国教育装备行业协会（以下简称“协会”）信用评价工作委员会特制定《中国教育装备行业企业信用评价工作指南（202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版）》。</w:t>
      </w:r>
    </w:p>
    <w:p>
      <w:pPr>
        <w:ind w:firstLine="640" w:firstLineChars="200"/>
        <w:rPr>
          <w:rFonts w:hint="eastAsia" w:ascii="黑体" w:hAnsi="黑体" w:eastAsia="黑体" w:cs="黑体"/>
          <w:sz w:val="32"/>
          <w:szCs w:val="32"/>
        </w:rPr>
      </w:pPr>
      <w:r>
        <w:rPr>
          <w:rFonts w:hint="eastAsia" w:ascii="黑体" w:hAnsi="黑体" w:eastAsia="黑体" w:cs="黑体"/>
          <w:sz w:val="32"/>
          <w:szCs w:val="32"/>
        </w:rPr>
        <w:t>一、信用评价的含义</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教育装备行业企业信用评价是协会依据国家有关法律法规，按照规定的标准、程序和方法，对自愿申报的会员企业信用状况进行综合评价，确定其信用等级并向社会公开的活动。</w:t>
      </w:r>
    </w:p>
    <w:p>
      <w:pPr>
        <w:ind w:firstLine="640" w:firstLineChars="200"/>
        <w:rPr>
          <w:rFonts w:hint="eastAsia" w:ascii="黑体" w:hAnsi="黑体" w:eastAsia="黑体" w:cs="黑体"/>
          <w:sz w:val="32"/>
          <w:szCs w:val="32"/>
        </w:rPr>
      </w:pPr>
      <w:r>
        <w:rPr>
          <w:rFonts w:hint="eastAsia" w:ascii="黑体" w:hAnsi="黑体" w:eastAsia="黑体" w:cs="黑体"/>
          <w:sz w:val="32"/>
          <w:szCs w:val="32"/>
        </w:rPr>
        <w:t>二、信用评价的内容、程序和意义</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信用评价主要包括两个方面：一是企业的信用记录核查，凡</w:t>
      </w:r>
      <w:r>
        <w:rPr>
          <w:rFonts w:hint="eastAsia" w:ascii="仿宋_GB2312" w:hAnsi="仿宋_GB2312" w:eastAsia="仿宋_GB2312" w:cs="仿宋_GB2312"/>
          <w:sz w:val="32"/>
          <w:szCs w:val="32"/>
          <w:highlight w:val="none"/>
        </w:rPr>
        <w:t>发生过严重失信行为的</w:t>
      </w:r>
      <w:r>
        <w:rPr>
          <w:rFonts w:hint="eastAsia" w:ascii="仿宋_GB2312" w:hAnsi="仿宋_GB2312" w:eastAsia="仿宋_GB2312" w:cs="仿宋_GB2312"/>
          <w:sz w:val="32"/>
          <w:szCs w:val="32"/>
        </w:rPr>
        <w:t>，一律不得参评，已经参评的取消其信用等级；二是技术指标评价，主要从企业基础信用指标、经营信用指标和社会信用指标等三方面来对受评企业在经营管理过程中遵守国家相关法律、法规及政策，履行相关合约的能力及意愿进行综合评价。</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教育装备行业企业信用等级评价按照统一的标准和程序进行。对参加信用等级评价的企业，按照“报名-资格审核-提交材料-预审-技术评分-初评-公示-终审-结果发布”的程序进行。</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信用评价的结果广泛应用于市场准入、招投标、税收优惠、重点企业申报、政府采购、资质认定、项目申请、示范基地创建、信用保险和融资信贷等各项工作之中。获得信用等级的企业可以在宣传材料、媒体、产品销售、工程投标、产品铭牌、产品包装、产品说明书、产品合格证等方面使用企业信用等级评价标识。</w:t>
      </w:r>
    </w:p>
    <w:p>
      <w:pPr>
        <w:ind w:firstLine="640" w:firstLineChars="200"/>
        <w:rPr>
          <w:rFonts w:hint="eastAsia" w:ascii="黑体" w:hAnsi="黑体" w:eastAsia="黑体" w:cs="黑体"/>
          <w:sz w:val="32"/>
          <w:szCs w:val="32"/>
        </w:rPr>
      </w:pPr>
      <w:r>
        <w:rPr>
          <w:rFonts w:hint="eastAsia" w:ascii="黑体" w:hAnsi="黑体" w:eastAsia="黑体" w:cs="黑体"/>
          <w:sz w:val="32"/>
          <w:szCs w:val="32"/>
        </w:rPr>
        <w:t>三、信用评价的证书及有效期</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教育装备行业企业信用等级分为AAA、AA、A、B、C三等五级，信用等级评级结果可在中国教育装备行业协会网站查询。企业信用等级证书由中国教育装备行业协会统一制作颁发，任何单位和个人未经中国教育装备行业协会授权或许可，不得擅自制作、颁发及使用。</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企业信用等级证书有效期为三年，</w:t>
      </w:r>
      <w:r>
        <w:rPr>
          <w:rFonts w:hint="eastAsia" w:ascii="仿宋_GB2312" w:hAnsi="仿宋_GB2312" w:eastAsia="仿宋_GB2312" w:cs="仿宋_GB2312"/>
          <w:sz w:val="32"/>
          <w:szCs w:val="32"/>
          <w:lang w:val="en-US" w:eastAsia="zh-CN"/>
        </w:rPr>
        <w:t>协会对</w:t>
      </w:r>
      <w:r>
        <w:rPr>
          <w:rFonts w:hint="eastAsia" w:ascii="仿宋_GB2312" w:hAnsi="仿宋_GB2312" w:eastAsia="仿宋_GB2312" w:cs="仿宋_GB2312"/>
          <w:sz w:val="32"/>
          <w:szCs w:val="32"/>
        </w:rPr>
        <w:t>获评企业信用等级在有效期内实行动态管理，</w:t>
      </w:r>
      <w:r>
        <w:rPr>
          <w:rFonts w:hint="eastAsia" w:ascii="仿宋_GB2312" w:hAnsi="仿宋_GB2312" w:eastAsia="仿宋_GB2312" w:cs="仿宋_GB2312"/>
          <w:sz w:val="32"/>
          <w:szCs w:val="32"/>
          <w:shd w:val="clear" w:color="auto" w:fill="FFFFFF"/>
        </w:rPr>
        <w:t>有效期满后需重新申报。</w:t>
      </w:r>
    </w:p>
    <w:p>
      <w:pPr>
        <w:ind w:firstLine="640" w:firstLineChars="200"/>
        <w:rPr>
          <w:rFonts w:hint="eastAsia" w:ascii="黑体" w:hAnsi="黑体" w:eastAsia="黑体" w:cs="黑体"/>
          <w:sz w:val="32"/>
          <w:szCs w:val="32"/>
        </w:rPr>
      </w:pPr>
      <w:r>
        <w:rPr>
          <w:rFonts w:hint="eastAsia" w:ascii="黑体" w:hAnsi="黑体" w:eastAsia="黑体" w:cs="黑体"/>
          <w:sz w:val="32"/>
          <w:szCs w:val="32"/>
        </w:rPr>
        <w:t>四、信用等级评价的组织实施</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w:t>
      </w:r>
      <w:r>
        <w:rPr>
          <w:rFonts w:hint="eastAsia" w:ascii="仿宋_GB2312" w:hAnsi="仿宋_GB2312" w:eastAsia="仿宋_GB2312" w:cs="仿宋_GB2312"/>
          <w:sz w:val="32"/>
          <w:szCs w:val="32"/>
          <w:lang w:eastAsia="zh-CN"/>
        </w:rPr>
        <w:t>报名</w:t>
      </w:r>
      <w:r>
        <w:rPr>
          <w:rFonts w:hint="eastAsia" w:ascii="仿宋_GB2312" w:hAnsi="仿宋_GB2312" w:eastAsia="仿宋_GB2312" w:cs="仿宋_GB2312"/>
          <w:sz w:val="32"/>
          <w:szCs w:val="32"/>
        </w:rPr>
        <w:t>企业的基本条件</w:t>
      </w:r>
    </w:p>
    <w:p>
      <w:pPr>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1.中国教育装备行业协会会员企业；</w:t>
      </w:r>
    </w:p>
    <w:p>
      <w:pPr>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2.在工商行政管理部门注册登记三年以上，近三年均有教育装备主营业务收入，且经营记录</w:t>
      </w:r>
      <w:r>
        <w:rPr>
          <w:rFonts w:hint="eastAsia" w:ascii="仿宋_GB2312" w:hAnsi="仿宋_GB2312" w:eastAsia="仿宋_GB2312" w:cs="仿宋_GB2312"/>
          <w:sz w:val="32"/>
          <w:szCs w:val="32"/>
          <w:lang w:val="en-US" w:eastAsia="zh-CN"/>
        </w:rPr>
        <w:t>良好</w:t>
      </w:r>
      <w:r>
        <w:rPr>
          <w:rFonts w:hint="eastAsia" w:ascii="仿宋_GB2312" w:hAnsi="仿宋_GB2312" w:eastAsia="仿宋_GB2312" w:cs="仿宋_GB2312"/>
          <w:sz w:val="32"/>
          <w:szCs w:val="32"/>
        </w:rPr>
        <w:t xml:space="preserve">； </w:t>
      </w:r>
    </w:p>
    <w:p>
      <w:pPr>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3.企业处于持续经营状态，非即将关、停的企业；</w:t>
      </w:r>
    </w:p>
    <w:p>
      <w:pPr>
        <w:pStyle w:val="5"/>
        <w:widowControl/>
        <w:spacing w:before="0" w:beforeAutospacing="0" w:after="0" w:afterAutospacing="0" w:line="360" w:lineRule="atLeast"/>
        <w:ind w:firstLine="672" w:firstLineChars="200"/>
        <w:jc w:val="both"/>
        <w:rPr>
          <w:rFonts w:hint="eastAsia" w:ascii="仿宋_GB2312" w:hAnsi="仿宋_GB2312" w:eastAsia="仿宋_GB2312" w:cs="仿宋_GB2312"/>
          <w:spacing w:val="8"/>
          <w:sz w:val="32"/>
          <w:szCs w:val="32"/>
        </w:rPr>
      </w:pPr>
      <w:r>
        <w:rPr>
          <w:rFonts w:hint="eastAsia" w:ascii="仿宋_GB2312" w:hAnsi="仿宋_GB2312" w:eastAsia="仿宋_GB2312" w:cs="仿宋_GB2312"/>
          <w:spacing w:val="8"/>
          <w:sz w:val="32"/>
          <w:szCs w:val="32"/>
        </w:rPr>
        <w:t>4.在近三年内的经营活动中</w:t>
      </w:r>
      <w:r>
        <w:rPr>
          <w:rFonts w:hint="eastAsia" w:ascii="仿宋_GB2312" w:hAnsi="仿宋_GB2312" w:eastAsia="仿宋_GB2312" w:cs="仿宋_GB2312"/>
          <w:spacing w:val="8"/>
          <w:sz w:val="32"/>
          <w:szCs w:val="32"/>
          <w:highlight w:val="none"/>
        </w:rPr>
        <w:t>无重大违</w:t>
      </w:r>
      <w:r>
        <w:rPr>
          <w:rFonts w:hint="eastAsia" w:ascii="仿宋_GB2312" w:hAnsi="仿宋_GB2312" w:eastAsia="仿宋_GB2312" w:cs="仿宋_GB2312"/>
          <w:spacing w:val="8"/>
          <w:sz w:val="32"/>
          <w:szCs w:val="32"/>
        </w:rPr>
        <w:t>法违规记录。</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（二）企业报名</w:t>
      </w:r>
    </w:p>
    <w:p>
      <w:pPr>
        <w:ind w:firstLine="640" w:firstLineChars="200"/>
        <w:rPr>
          <w:rFonts w:hint="eastAsia" w:ascii="微软雅黑" w:hAnsi="微软雅黑" w:eastAsia="微软雅黑" w:cs="微软雅黑"/>
          <w:color w:val="auto"/>
          <w:sz w:val="24"/>
          <w:highlight w:val="none"/>
          <w:shd w:val="clear" w:color="auto" w:fill="FFFFFF"/>
        </w:rPr>
      </w:pPr>
      <w:r>
        <w:rPr>
          <w:rFonts w:hint="eastAsia" w:ascii="仿宋_GB2312" w:hAnsi="仿宋_GB2312" w:eastAsia="仿宋_GB2312" w:cs="仿宋_GB2312"/>
          <w:sz w:val="32"/>
          <w:szCs w:val="32"/>
          <w:shd w:val="clear" w:color="auto" w:fill="FFFFFF"/>
        </w:rPr>
        <w:t>协会根据信用评价工作计划安排，于每年3月份前后向各地方协会、教育装备管理部门及协会相关分支机构等发布企业信用评价工作报名通知，并在协会门户网站发布，申报企业按照通知要求</w:t>
      </w:r>
      <w:r>
        <w:rPr>
          <w:rFonts w:hint="eastAsia" w:ascii="仿宋_GB2312" w:hAnsi="仿宋_GB2312" w:eastAsia="仿宋_GB2312" w:cs="仿宋_GB2312"/>
          <w:sz w:val="32"/>
          <w:szCs w:val="32"/>
        </w:rPr>
        <w:t>需将《教育装备行业企业信用等级评价报名表》填写好并加盖公章扫描后，电子版发送至信评工作专用邮箱xpb</w:t>
      </w:r>
      <w:r>
        <w:rPr>
          <w:rFonts w:hint="eastAsia" w:ascii="宋体" w:hAnsi="宋体" w:cs="仿宋_GB2312"/>
          <w:sz w:val="32"/>
          <w:szCs w:val="32"/>
        </w:rPr>
        <w:t>@</w:t>
      </w:r>
      <w:r>
        <w:rPr>
          <w:rFonts w:hint="eastAsia" w:ascii="仿宋_GB2312" w:hAnsi="仿宋_GB2312" w:eastAsia="仿宋_GB2312" w:cs="仿宋_GB2312"/>
          <w:sz w:val="32"/>
          <w:szCs w:val="32"/>
        </w:rPr>
        <w:t>ceeia.cn，并将报名表原件寄</w:t>
      </w:r>
      <w:r>
        <w:rPr>
          <w:rFonts w:hint="eastAsia" w:ascii="仿宋_GB2312" w:hAnsi="仿宋_GB2312" w:eastAsia="仿宋_GB2312" w:cs="仿宋_GB2312"/>
          <w:sz w:val="32"/>
          <w:szCs w:val="32"/>
          <w:highlight w:val="none"/>
        </w:rPr>
        <w:t>送</w:t>
      </w:r>
      <w:r>
        <w:rPr>
          <w:rFonts w:hint="eastAsia" w:ascii="仿宋_GB2312" w:hAnsi="仿宋_GB2312" w:eastAsia="仿宋_GB2312" w:cs="仿宋_GB2312"/>
          <w:sz w:val="32"/>
          <w:szCs w:val="32"/>
          <w:highlight w:val="none"/>
          <w:lang w:eastAsia="zh-CN"/>
        </w:rPr>
        <w:t>至</w:t>
      </w:r>
      <w:r>
        <w:rPr>
          <w:rFonts w:hint="eastAsia" w:ascii="仿宋_GB2312" w:hAnsi="仿宋_GB2312" w:eastAsia="仿宋_GB2312" w:cs="仿宋_GB2312"/>
          <w:sz w:val="32"/>
          <w:szCs w:val="32"/>
          <w:highlight w:val="none"/>
        </w:rPr>
        <w:t>协</w:t>
      </w:r>
      <w:r>
        <w:rPr>
          <w:rFonts w:hint="eastAsia" w:ascii="仿宋_GB2312" w:hAnsi="仿宋_GB2312" w:eastAsia="仿宋_GB2312" w:cs="仿宋_GB2312"/>
          <w:color w:val="auto"/>
          <w:sz w:val="32"/>
          <w:szCs w:val="32"/>
          <w:highlight w:val="none"/>
        </w:rPr>
        <w:t>会</w:t>
      </w:r>
      <w:r>
        <w:rPr>
          <w:rFonts w:hint="eastAsia" w:ascii="仿宋_GB2312" w:hAnsi="仿宋_GB2312" w:eastAsia="仿宋_GB2312" w:cs="仿宋_GB2312"/>
          <w:color w:val="auto"/>
          <w:sz w:val="32"/>
          <w:szCs w:val="32"/>
          <w:highlight w:val="none"/>
          <w:lang w:eastAsia="zh-CN"/>
        </w:rPr>
        <w:t>技术标准部</w:t>
      </w:r>
      <w:r>
        <w:rPr>
          <w:rFonts w:hint="eastAsia" w:ascii="仿宋_GB2312" w:hAnsi="仿宋_GB2312" w:eastAsia="仿宋_GB2312" w:cs="仿宋_GB2312"/>
          <w:color w:val="auto"/>
          <w:sz w:val="32"/>
          <w:szCs w:val="32"/>
          <w:highlight w:val="none"/>
        </w:rPr>
        <w:t>。</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（三）资格审核及评价材料报送</w:t>
      </w:r>
    </w:p>
    <w:p>
      <w:pPr>
        <w:spacing w:line="6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协会根据企业参加协会及其所属</w:t>
      </w:r>
      <w:r>
        <w:rPr>
          <w:rFonts w:hint="eastAsia" w:ascii="仿宋_GB2312" w:hAnsi="仿宋_GB2312" w:eastAsia="仿宋_GB2312" w:cs="仿宋_GB2312"/>
          <w:sz w:val="32"/>
          <w:szCs w:val="32"/>
          <w:lang w:val="en-US" w:eastAsia="zh-CN"/>
        </w:rPr>
        <w:t>各</w:t>
      </w:r>
      <w:r>
        <w:rPr>
          <w:rFonts w:hint="eastAsia" w:ascii="仿宋_GB2312" w:hAnsi="仿宋_GB2312" w:eastAsia="仿宋_GB2312" w:cs="仿宋_GB2312"/>
          <w:sz w:val="32"/>
          <w:szCs w:val="32"/>
        </w:rPr>
        <w:t>省(市)行业协会或分支机构的各项活动情况审核企业</w:t>
      </w:r>
      <w:r>
        <w:rPr>
          <w:rFonts w:hint="eastAsia" w:ascii="仿宋_GB2312" w:hAnsi="仿宋_GB2312" w:eastAsia="仿宋_GB2312" w:cs="仿宋_GB2312"/>
          <w:sz w:val="32"/>
          <w:szCs w:val="32"/>
          <w:lang w:eastAsia="zh-CN"/>
        </w:rPr>
        <w:t>参评</w:t>
      </w:r>
      <w:r>
        <w:rPr>
          <w:rFonts w:hint="eastAsia" w:ascii="仿宋_GB2312" w:hAnsi="仿宋_GB2312" w:eastAsia="仿宋_GB2312" w:cs="仿宋_GB2312"/>
          <w:sz w:val="32"/>
          <w:szCs w:val="32"/>
        </w:rPr>
        <w:t>资格，并通知审核通过的企业填报《</w:t>
      </w:r>
      <w:r>
        <w:rPr>
          <w:rFonts w:hint="eastAsia" w:ascii="仿宋_GB2312" w:hAnsi="仿宋" w:eastAsia="仿宋_GB2312"/>
          <w:sz w:val="32"/>
          <w:szCs w:val="32"/>
        </w:rPr>
        <w:t>中国教育装备行业</w:t>
      </w:r>
      <w:r>
        <w:rPr>
          <w:rFonts w:hint="eastAsia" w:ascii="仿宋_GB2312" w:hAnsi="仿宋_GB2312" w:eastAsia="仿宋_GB2312" w:cs="仿宋_GB2312"/>
          <w:sz w:val="32"/>
          <w:szCs w:val="32"/>
        </w:rPr>
        <w:t>企业信用等级评价申报书》。</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企业按信用等级评价具体事项通知要求，按期填报申报书，准备各项证明材料，一式两份装订成册并加盖企业公章，与空白的《省（市）行业协会或分支机构初审表》一并寄送</w:t>
      </w:r>
      <w:r>
        <w:rPr>
          <w:rFonts w:hint="eastAsia" w:ascii="仿宋_GB2312" w:hAnsi="仿宋_GB2312" w:eastAsia="仿宋_GB2312" w:cs="仿宋_GB2312"/>
          <w:sz w:val="32"/>
          <w:szCs w:val="32"/>
          <w:lang w:eastAsia="zh-CN"/>
        </w:rPr>
        <w:t>至</w:t>
      </w:r>
      <w:r>
        <w:rPr>
          <w:rFonts w:hint="eastAsia" w:ascii="仿宋_GB2312" w:hAnsi="仿宋_GB2312" w:eastAsia="仿宋_GB2312" w:cs="仿宋_GB2312"/>
          <w:sz w:val="32"/>
          <w:szCs w:val="32"/>
        </w:rPr>
        <w:t>企业注册所属的</w:t>
      </w:r>
      <w:r>
        <w:rPr>
          <w:rFonts w:hint="eastAsia" w:ascii="仿宋_GB2312" w:hAnsi="仿宋_GB2312" w:eastAsia="仿宋_GB2312" w:cs="仿宋_GB2312"/>
          <w:sz w:val="32"/>
          <w:szCs w:val="32"/>
          <w:lang w:val="en-US" w:eastAsia="zh-CN"/>
        </w:rPr>
        <w:t>各</w:t>
      </w:r>
      <w:r>
        <w:rPr>
          <w:rFonts w:hint="eastAsia" w:ascii="仿宋_GB2312" w:hAnsi="仿宋_GB2312" w:eastAsia="仿宋_GB2312" w:cs="仿宋_GB2312"/>
          <w:sz w:val="32"/>
          <w:szCs w:val="32"/>
        </w:rPr>
        <w:t>省(市)行业协会或分支机构进行预审。</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同时，将申报资料中的《中国教育装备行业企业信用等级评价申报书》电子版发到信评工作专用邮箱：xpb</w:t>
      </w:r>
      <w:r>
        <w:rPr>
          <w:rFonts w:hint="eastAsia" w:ascii="宋体" w:hAnsi="宋体" w:cs="仿宋_GB2312"/>
          <w:sz w:val="32"/>
          <w:szCs w:val="32"/>
        </w:rPr>
        <w:t>@</w:t>
      </w:r>
      <w:r>
        <w:rPr>
          <w:rFonts w:hint="eastAsia" w:ascii="仿宋_GB2312" w:hAnsi="仿宋_GB2312" w:eastAsia="仿宋_GB2312" w:cs="仿宋_GB2312"/>
          <w:sz w:val="32"/>
          <w:szCs w:val="32"/>
        </w:rPr>
        <w:t>ceeia.cn。</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各省（市）行业协会或分支机构对企业提交的资料进行初审，并按照《省（市）行业协会或分支机构初审表》的要求对企业申报资料进行审核并签字、盖章，将相关材料按期寄送至协会</w:t>
      </w:r>
      <w:r>
        <w:rPr>
          <w:rFonts w:hint="eastAsia" w:ascii="仿宋_GB2312" w:hAnsi="仿宋_GB2312" w:eastAsia="仿宋_GB2312" w:cs="仿宋_GB2312"/>
          <w:sz w:val="32"/>
          <w:szCs w:val="32"/>
          <w:lang w:eastAsia="zh-CN"/>
        </w:rPr>
        <w:t>技术标准部</w:t>
      </w:r>
      <w:r>
        <w:rPr>
          <w:rFonts w:hint="eastAsia" w:ascii="仿宋_GB2312" w:hAnsi="仿宋_GB2312" w:eastAsia="仿宋_GB2312" w:cs="仿宋_GB2312"/>
          <w:sz w:val="32"/>
          <w:szCs w:val="32"/>
        </w:rPr>
        <w:t>。</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未成立教育装备行业协会的省（市），请各省（市）教育技术装备处（中心、办）给予支持，协助办理。</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（四）评价及结果发布</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协</w:t>
      </w:r>
      <w:r>
        <w:rPr>
          <w:rFonts w:hint="eastAsia" w:ascii="仿宋_GB2312" w:hAnsi="仿宋_GB2312" w:eastAsia="仿宋_GB2312" w:cs="仿宋_GB2312"/>
          <w:color w:val="auto"/>
          <w:sz w:val="32"/>
          <w:szCs w:val="32"/>
        </w:rPr>
        <w:t>会技术标准部将申</w:t>
      </w:r>
      <w:r>
        <w:rPr>
          <w:rFonts w:hint="eastAsia" w:ascii="仿宋_GB2312" w:hAnsi="仿宋_GB2312" w:eastAsia="仿宋_GB2312" w:cs="仿宋_GB2312"/>
          <w:sz w:val="32"/>
          <w:szCs w:val="32"/>
        </w:rPr>
        <w:t>报材料汇总提交第三方信用服务机构进行逐项评分后，组织信评委专家对参评企业信用等级进行审定，初步评定参评企业信用等级。初评结果为A级以上的企业名单通过中国教育装备行业协会门户网站、中国教育装备网等进行公示。如初评结果公示无异议，初评结果即为本次信用评价终审结果;如初评结果有异议</w:t>
      </w:r>
      <w:r>
        <w:rPr>
          <w:rFonts w:hint="eastAsia" w:ascii="仿宋_GB2312" w:hAnsi="仿宋_GB2312" w:eastAsia="仿宋_GB2312" w:cs="仿宋_GB2312"/>
          <w:color w:val="auto"/>
          <w:sz w:val="32"/>
          <w:szCs w:val="32"/>
        </w:rPr>
        <w:t>，技术标准部将依据协会监事会核查处理意见向信评委提交监事会</w:t>
      </w:r>
      <w:r>
        <w:rPr>
          <w:rFonts w:hint="eastAsia" w:ascii="仿宋_GB2312" w:hAnsi="仿宋_GB2312" w:eastAsia="仿宋_GB2312" w:cs="仿宋_GB2312"/>
          <w:sz w:val="32"/>
          <w:szCs w:val="32"/>
        </w:rPr>
        <w:t>核查处理意见，由信评委终审确定最终评价结果。信评结果由协会信评委正式发文通告，并在协会网站及中国教育装备网等其它相关媒体上公布，</w:t>
      </w:r>
      <w:r>
        <w:rPr>
          <w:rFonts w:hint="eastAsia" w:ascii="仿宋_GB2312" w:hAnsi="仿宋_GB2312" w:eastAsia="仿宋_GB2312" w:cs="仿宋_GB2312"/>
          <w:sz w:val="32"/>
          <w:szCs w:val="32"/>
          <w:lang w:eastAsia="zh-CN"/>
        </w:rPr>
        <w:t>同时</w:t>
      </w:r>
      <w:r>
        <w:rPr>
          <w:rFonts w:hint="eastAsia" w:ascii="仿宋_GB2312" w:hAnsi="仿宋_GB2312" w:eastAsia="仿宋_GB2312" w:cs="仿宋_GB2312"/>
          <w:sz w:val="32"/>
          <w:szCs w:val="32"/>
        </w:rPr>
        <w:t>报送各地方教育装备管理部门。</w:t>
      </w:r>
    </w:p>
    <w:p>
      <w:pPr>
        <w:ind w:firstLine="640" w:firstLineChars="200"/>
        <w:rPr>
          <w:rFonts w:hint="eastAsia" w:ascii="黑体" w:hAnsi="黑体" w:eastAsia="黑体" w:cs="黑体"/>
          <w:sz w:val="32"/>
          <w:szCs w:val="32"/>
        </w:rPr>
      </w:pPr>
      <w:r>
        <w:rPr>
          <w:rFonts w:hint="eastAsia" w:ascii="黑体" w:hAnsi="黑体" w:eastAsia="黑体" w:cs="黑体"/>
          <w:sz w:val="32"/>
          <w:szCs w:val="32"/>
        </w:rPr>
        <w:t>五、监督管理</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教育装备行业企业信用评价工作的监督管理由中国教育装备行业协会监事会负责。协会设立并公布投诉渠道，认真处理举报投诉，接受会员企业、媒体和政府有关部门及社会各方面的咨询评议和监督。</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协会信用评价工作公开投诉电话：010-59893208、59893193 传真：010-59893200 </w:t>
      </w:r>
    </w:p>
    <w:p>
      <w:pPr>
        <w:ind w:firstLine="640" w:firstLineChars="200"/>
      </w:pPr>
      <w:r>
        <w:rPr>
          <w:rFonts w:hint="eastAsia" w:ascii="仿宋_GB2312" w:hAnsi="仿宋_GB2312" w:eastAsia="仿宋_GB2312" w:cs="仿宋_GB2312"/>
          <w:sz w:val="32"/>
          <w:szCs w:val="32"/>
        </w:rPr>
        <w:t>E-mail：jsh</w:t>
      </w:r>
      <w:r>
        <w:rPr>
          <w:rFonts w:hint="eastAsia" w:ascii="宋体" w:hAnsi="宋体" w:cs="仿宋_GB2312"/>
          <w:sz w:val="32"/>
          <w:szCs w:val="32"/>
        </w:rPr>
        <w:t>@</w:t>
      </w:r>
      <w:r>
        <w:rPr>
          <w:rFonts w:hint="eastAsia" w:ascii="仿宋_GB2312" w:hAnsi="仿宋_GB2312" w:eastAsia="仿宋_GB2312" w:cs="仿宋_GB2312"/>
          <w:sz w:val="32"/>
          <w:szCs w:val="32"/>
        </w:rPr>
        <w:t>ceeia.cn   网址：http：//www.ceeia.cn</w:t>
      </w:r>
    </w:p>
    <w:p>
      <w:pPr>
        <w:widowControl/>
        <w:jc w:val="left"/>
        <w:rPr>
          <w:rFonts w:hint="eastAsia" w:ascii="黑体" w:hAnsi="黑体" w:eastAsia="黑体" w:cs="黑体"/>
          <w:sz w:val="32"/>
          <w:szCs w:val="32"/>
        </w:rPr>
      </w:pPr>
      <w:r>
        <w:rPr>
          <w:rFonts w:hint="eastAsia" w:ascii="黑体" w:hAnsi="黑体" w:eastAsia="黑体" w:cs="黑体"/>
          <w:sz w:val="32"/>
          <w:szCs w:val="32"/>
        </w:rPr>
        <w:t>附件2</w:t>
      </w:r>
    </w:p>
    <w:p>
      <w:pPr>
        <w:widowControl/>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教育装备行业企业信用等级评价报名表</w:t>
      </w:r>
    </w:p>
    <w:p>
      <w:pPr>
        <w:rPr>
          <w:rFonts w:ascii="仿宋" w:hAnsi="仿宋" w:eastAsia="仿宋"/>
          <w:sz w:val="10"/>
          <w:szCs w:val="10"/>
        </w:rPr>
      </w:pPr>
    </w:p>
    <w:tbl>
      <w:tblPr>
        <w:tblStyle w:val="6"/>
        <w:tblW w:w="9144" w:type="dxa"/>
        <w:jc w:val="center"/>
        <w:tblLayout w:type="fixed"/>
        <w:tblCellMar>
          <w:top w:w="0" w:type="dxa"/>
          <w:left w:w="108" w:type="dxa"/>
          <w:bottom w:w="0" w:type="dxa"/>
          <w:right w:w="108" w:type="dxa"/>
        </w:tblCellMar>
      </w:tblPr>
      <w:tblGrid>
        <w:gridCol w:w="2094"/>
        <w:gridCol w:w="2586"/>
        <w:gridCol w:w="1825"/>
        <w:gridCol w:w="2639"/>
      </w:tblGrid>
      <w:tr>
        <w:tblPrEx>
          <w:tblCellMar>
            <w:top w:w="0" w:type="dxa"/>
            <w:left w:w="108" w:type="dxa"/>
            <w:bottom w:w="0" w:type="dxa"/>
            <w:right w:w="108" w:type="dxa"/>
          </w:tblCellMar>
        </w:tblPrEx>
        <w:trPr>
          <w:trHeight w:val="567" w:hRule="atLeast"/>
          <w:jc w:val="center"/>
        </w:trPr>
        <w:tc>
          <w:tcPr>
            <w:tcW w:w="2094" w:type="dxa"/>
            <w:vMerge w:val="restart"/>
            <w:tcBorders>
              <w:top w:val="single" w:color="auto" w:sz="4" w:space="0"/>
              <w:left w:val="single" w:color="auto" w:sz="4" w:space="0"/>
              <w:bottom w:val="single" w:color="000000" w:sz="4" w:space="0"/>
              <w:right w:val="single" w:color="auto" w:sz="4" w:space="0"/>
            </w:tcBorders>
            <w:noWrap w:val="0"/>
            <w:vAlign w:val="center"/>
          </w:tcPr>
          <w:p>
            <w:pPr>
              <w:widowControl/>
              <w:jc w:val="center"/>
              <w:rPr>
                <w:rFonts w:ascii="仿宋" w:hAnsi="仿宋" w:eastAsia="仿宋" w:cs="宋体"/>
                <w:color w:val="000000"/>
                <w:kern w:val="0"/>
                <w:sz w:val="32"/>
                <w:szCs w:val="32"/>
              </w:rPr>
            </w:pPr>
            <w:r>
              <w:rPr>
                <w:rFonts w:hint="eastAsia" w:ascii="仿宋" w:hAnsi="仿宋" w:eastAsia="仿宋" w:cs="宋体"/>
                <w:color w:val="000000"/>
                <w:kern w:val="0"/>
                <w:sz w:val="32"/>
                <w:szCs w:val="32"/>
              </w:rPr>
              <w:t>单位名称</w:t>
            </w:r>
          </w:p>
        </w:tc>
        <w:tc>
          <w:tcPr>
            <w:tcW w:w="7050" w:type="dxa"/>
            <w:gridSpan w:val="3"/>
            <w:tcBorders>
              <w:top w:val="single" w:color="auto" w:sz="4" w:space="0"/>
              <w:left w:val="nil"/>
              <w:bottom w:val="single" w:color="auto" w:sz="4" w:space="0"/>
              <w:right w:val="single" w:color="auto" w:sz="4" w:space="0"/>
            </w:tcBorders>
            <w:noWrap w:val="0"/>
            <w:vAlign w:val="center"/>
          </w:tcPr>
          <w:p>
            <w:pPr>
              <w:widowControl/>
              <w:rPr>
                <w:rFonts w:ascii="仿宋" w:hAnsi="仿宋" w:eastAsia="仿宋" w:cs="宋体"/>
                <w:color w:val="000000"/>
                <w:kern w:val="0"/>
                <w:sz w:val="32"/>
                <w:szCs w:val="32"/>
              </w:rPr>
            </w:pPr>
            <w:r>
              <w:rPr>
                <w:rFonts w:hint="eastAsia" w:ascii="仿宋" w:hAnsi="仿宋" w:eastAsia="仿宋" w:cs="宋体"/>
                <w:color w:val="000000"/>
                <w:kern w:val="0"/>
                <w:sz w:val="32"/>
                <w:szCs w:val="32"/>
              </w:rPr>
              <w:t>中文：</w:t>
            </w:r>
          </w:p>
        </w:tc>
      </w:tr>
      <w:tr>
        <w:tblPrEx>
          <w:tblCellMar>
            <w:top w:w="0" w:type="dxa"/>
            <w:left w:w="108" w:type="dxa"/>
            <w:bottom w:w="0" w:type="dxa"/>
            <w:right w:w="108" w:type="dxa"/>
          </w:tblCellMar>
        </w:tblPrEx>
        <w:trPr>
          <w:trHeight w:val="567" w:hRule="atLeast"/>
          <w:jc w:val="center"/>
        </w:trPr>
        <w:tc>
          <w:tcPr>
            <w:tcW w:w="2094" w:type="dxa"/>
            <w:vMerge w:val="continue"/>
            <w:tcBorders>
              <w:top w:val="single" w:color="auto" w:sz="4" w:space="0"/>
              <w:left w:val="single" w:color="auto" w:sz="4" w:space="0"/>
              <w:bottom w:val="single" w:color="000000" w:sz="4" w:space="0"/>
              <w:right w:val="single" w:color="auto" w:sz="4" w:space="0"/>
            </w:tcBorders>
            <w:noWrap w:val="0"/>
            <w:vAlign w:val="center"/>
          </w:tcPr>
          <w:p>
            <w:pPr>
              <w:widowControl/>
              <w:jc w:val="left"/>
              <w:rPr>
                <w:rFonts w:ascii="仿宋" w:hAnsi="仿宋" w:eastAsia="仿宋" w:cs="宋体"/>
                <w:color w:val="000000"/>
                <w:kern w:val="0"/>
                <w:sz w:val="32"/>
                <w:szCs w:val="32"/>
              </w:rPr>
            </w:pPr>
          </w:p>
        </w:tc>
        <w:tc>
          <w:tcPr>
            <w:tcW w:w="7050" w:type="dxa"/>
            <w:gridSpan w:val="3"/>
            <w:tcBorders>
              <w:top w:val="single" w:color="auto" w:sz="4" w:space="0"/>
              <w:left w:val="nil"/>
              <w:bottom w:val="single" w:color="auto" w:sz="4" w:space="0"/>
              <w:right w:val="single" w:color="000000" w:sz="4" w:space="0"/>
            </w:tcBorders>
            <w:noWrap w:val="0"/>
            <w:vAlign w:val="center"/>
          </w:tcPr>
          <w:p>
            <w:pPr>
              <w:widowControl/>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英文：</w:t>
            </w:r>
          </w:p>
        </w:tc>
      </w:tr>
      <w:tr>
        <w:tblPrEx>
          <w:tblCellMar>
            <w:top w:w="0" w:type="dxa"/>
            <w:left w:w="108" w:type="dxa"/>
            <w:bottom w:w="0" w:type="dxa"/>
            <w:right w:w="108" w:type="dxa"/>
          </w:tblCellMar>
        </w:tblPrEx>
        <w:trPr>
          <w:trHeight w:val="567" w:hRule="atLeast"/>
          <w:jc w:val="center"/>
        </w:trPr>
        <w:tc>
          <w:tcPr>
            <w:tcW w:w="2094" w:type="dxa"/>
            <w:tcBorders>
              <w:top w:val="nil"/>
              <w:left w:val="single" w:color="auto" w:sz="4" w:space="0"/>
              <w:bottom w:val="single" w:color="auto" w:sz="4" w:space="0"/>
              <w:right w:val="single" w:color="auto" w:sz="4" w:space="0"/>
            </w:tcBorders>
            <w:noWrap w:val="0"/>
            <w:vAlign w:val="top"/>
          </w:tcPr>
          <w:p>
            <w:pPr>
              <w:widowControl/>
              <w:jc w:val="center"/>
              <w:rPr>
                <w:rFonts w:ascii="仿宋" w:hAnsi="仿宋" w:eastAsia="仿宋" w:cs="宋体"/>
                <w:color w:val="000000"/>
                <w:kern w:val="0"/>
                <w:sz w:val="32"/>
                <w:szCs w:val="32"/>
              </w:rPr>
            </w:pPr>
            <w:r>
              <w:rPr>
                <w:rFonts w:hint="eastAsia" w:ascii="仿宋" w:hAnsi="仿宋" w:eastAsia="仿宋" w:cs="宋体"/>
                <w:color w:val="000000"/>
                <w:kern w:val="0"/>
                <w:sz w:val="32"/>
                <w:szCs w:val="32"/>
              </w:rPr>
              <w:t>联 系 人</w:t>
            </w:r>
          </w:p>
        </w:tc>
        <w:tc>
          <w:tcPr>
            <w:tcW w:w="2586" w:type="dxa"/>
            <w:tcBorders>
              <w:top w:val="nil"/>
              <w:left w:val="nil"/>
              <w:bottom w:val="single" w:color="auto" w:sz="4" w:space="0"/>
              <w:right w:val="single" w:color="auto" w:sz="4" w:space="0"/>
            </w:tcBorders>
            <w:noWrap w:val="0"/>
            <w:vAlign w:val="top"/>
          </w:tcPr>
          <w:p>
            <w:pPr>
              <w:widowControl/>
              <w:rPr>
                <w:rFonts w:ascii="仿宋" w:hAnsi="仿宋" w:eastAsia="仿宋" w:cs="宋体"/>
                <w:color w:val="000000"/>
                <w:kern w:val="0"/>
                <w:sz w:val="32"/>
                <w:szCs w:val="32"/>
              </w:rPr>
            </w:pPr>
          </w:p>
        </w:tc>
        <w:tc>
          <w:tcPr>
            <w:tcW w:w="1825" w:type="dxa"/>
            <w:tcBorders>
              <w:top w:val="nil"/>
              <w:left w:val="nil"/>
              <w:bottom w:val="single" w:color="auto" w:sz="4" w:space="0"/>
              <w:right w:val="single" w:color="auto" w:sz="4" w:space="0"/>
            </w:tcBorders>
            <w:noWrap w:val="0"/>
            <w:vAlign w:val="top"/>
          </w:tcPr>
          <w:p>
            <w:pPr>
              <w:widowControl/>
              <w:jc w:val="center"/>
              <w:rPr>
                <w:rFonts w:ascii="仿宋" w:hAnsi="仿宋" w:eastAsia="仿宋" w:cs="宋体"/>
                <w:color w:val="000000"/>
                <w:kern w:val="0"/>
                <w:sz w:val="32"/>
                <w:szCs w:val="32"/>
              </w:rPr>
            </w:pPr>
            <w:r>
              <w:rPr>
                <w:rFonts w:hint="eastAsia" w:ascii="仿宋" w:hAnsi="仿宋" w:eastAsia="仿宋" w:cs="宋体"/>
                <w:color w:val="000000"/>
                <w:kern w:val="0"/>
                <w:sz w:val="32"/>
                <w:szCs w:val="32"/>
              </w:rPr>
              <w:t>职    务</w:t>
            </w:r>
          </w:p>
        </w:tc>
        <w:tc>
          <w:tcPr>
            <w:tcW w:w="2639" w:type="dxa"/>
            <w:tcBorders>
              <w:top w:val="nil"/>
              <w:left w:val="nil"/>
              <w:bottom w:val="single" w:color="auto" w:sz="4" w:space="0"/>
              <w:right w:val="single" w:color="auto" w:sz="4" w:space="0"/>
            </w:tcBorders>
            <w:noWrap w:val="0"/>
            <w:vAlign w:val="top"/>
          </w:tcPr>
          <w:p>
            <w:pPr>
              <w:widowControl/>
              <w:rPr>
                <w:rFonts w:ascii="仿宋" w:hAnsi="仿宋" w:eastAsia="仿宋" w:cs="宋体"/>
                <w:color w:val="000000"/>
                <w:kern w:val="0"/>
                <w:sz w:val="32"/>
                <w:szCs w:val="32"/>
              </w:rPr>
            </w:pPr>
            <w:r>
              <w:rPr>
                <w:rFonts w:hint="eastAsia" w:ascii="仿宋" w:hAnsi="仿宋" w:eastAsia="仿宋" w:cs="宋体"/>
                <w:color w:val="000000"/>
                <w:kern w:val="0"/>
                <w:sz w:val="32"/>
                <w:szCs w:val="32"/>
              </w:rPr>
              <w:t>　</w:t>
            </w:r>
          </w:p>
        </w:tc>
      </w:tr>
      <w:tr>
        <w:tblPrEx>
          <w:tblCellMar>
            <w:top w:w="0" w:type="dxa"/>
            <w:left w:w="108" w:type="dxa"/>
            <w:bottom w:w="0" w:type="dxa"/>
            <w:right w:w="108" w:type="dxa"/>
          </w:tblCellMar>
        </w:tblPrEx>
        <w:trPr>
          <w:trHeight w:val="567" w:hRule="atLeast"/>
          <w:jc w:val="center"/>
        </w:trPr>
        <w:tc>
          <w:tcPr>
            <w:tcW w:w="2094" w:type="dxa"/>
            <w:tcBorders>
              <w:top w:val="nil"/>
              <w:left w:val="single" w:color="auto" w:sz="4" w:space="0"/>
              <w:bottom w:val="single" w:color="auto" w:sz="4" w:space="0"/>
              <w:right w:val="single" w:color="auto" w:sz="4" w:space="0"/>
            </w:tcBorders>
            <w:noWrap w:val="0"/>
            <w:vAlign w:val="top"/>
          </w:tcPr>
          <w:p>
            <w:pPr>
              <w:widowControl/>
              <w:jc w:val="center"/>
              <w:rPr>
                <w:rFonts w:ascii="仿宋" w:hAnsi="仿宋" w:eastAsia="仿宋" w:cs="宋体"/>
                <w:color w:val="000000"/>
                <w:kern w:val="0"/>
                <w:sz w:val="32"/>
                <w:szCs w:val="32"/>
              </w:rPr>
            </w:pPr>
            <w:r>
              <w:rPr>
                <w:rFonts w:hint="eastAsia" w:ascii="仿宋" w:hAnsi="仿宋" w:eastAsia="仿宋" w:cs="宋体"/>
                <w:color w:val="000000"/>
                <w:kern w:val="0"/>
                <w:sz w:val="32"/>
                <w:szCs w:val="32"/>
              </w:rPr>
              <w:t>固定电话</w:t>
            </w:r>
          </w:p>
        </w:tc>
        <w:tc>
          <w:tcPr>
            <w:tcW w:w="2586" w:type="dxa"/>
            <w:tcBorders>
              <w:top w:val="nil"/>
              <w:left w:val="nil"/>
              <w:bottom w:val="single" w:color="auto" w:sz="4" w:space="0"/>
              <w:right w:val="single" w:color="auto" w:sz="4" w:space="0"/>
            </w:tcBorders>
            <w:noWrap w:val="0"/>
            <w:vAlign w:val="center"/>
          </w:tcPr>
          <w:p>
            <w:pPr>
              <w:widowControl/>
              <w:rPr>
                <w:rFonts w:ascii="仿宋" w:hAnsi="仿宋" w:eastAsia="仿宋" w:cs="宋体"/>
                <w:color w:val="000000"/>
                <w:kern w:val="0"/>
                <w:sz w:val="32"/>
                <w:szCs w:val="32"/>
              </w:rPr>
            </w:pPr>
          </w:p>
        </w:tc>
        <w:tc>
          <w:tcPr>
            <w:tcW w:w="1825" w:type="dxa"/>
            <w:tcBorders>
              <w:top w:val="nil"/>
              <w:left w:val="nil"/>
              <w:bottom w:val="single" w:color="auto" w:sz="4" w:space="0"/>
              <w:right w:val="single" w:color="auto" w:sz="4" w:space="0"/>
            </w:tcBorders>
            <w:noWrap w:val="0"/>
            <w:vAlign w:val="center"/>
          </w:tcPr>
          <w:p>
            <w:pPr>
              <w:widowControl/>
              <w:jc w:val="center"/>
              <w:rPr>
                <w:rFonts w:ascii="仿宋" w:hAnsi="仿宋" w:eastAsia="仿宋" w:cs="宋体"/>
                <w:color w:val="000000"/>
                <w:kern w:val="0"/>
                <w:sz w:val="32"/>
                <w:szCs w:val="32"/>
              </w:rPr>
            </w:pPr>
            <w:r>
              <w:rPr>
                <w:rFonts w:hint="eastAsia" w:ascii="仿宋" w:hAnsi="仿宋" w:eastAsia="仿宋" w:cs="宋体"/>
                <w:color w:val="000000"/>
                <w:kern w:val="0"/>
                <w:sz w:val="32"/>
                <w:szCs w:val="32"/>
              </w:rPr>
              <w:t>移动电话</w:t>
            </w:r>
          </w:p>
        </w:tc>
        <w:tc>
          <w:tcPr>
            <w:tcW w:w="2639" w:type="dxa"/>
            <w:tcBorders>
              <w:top w:val="nil"/>
              <w:left w:val="nil"/>
              <w:bottom w:val="single" w:color="auto" w:sz="4" w:space="0"/>
              <w:right w:val="single" w:color="auto" w:sz="4" w:space="0"/>
            </w:tcBorders>
            <w:noWrap w:val="0"/>
            <w:vAlign w:val="center"/>
          </w:tcPr>
          <w:p>
            <w:pPr>
              <w:widowControl/>
              <w:rPr>
                <w:rFonts w:ascii="仿宋" w:hAnsi="仿宋" w:eastAsia="仿宋" w:cs="宋体"/>
                <w:color w:val="000000"/>
                <w:kern w:val="0"/>
                <w:sz w:val="32"/>
                <w:szCs w:val="32"/>
              </w:rPr>
            </w:pPr>
            <w:r>
              <w:rPr>
                <w:rFonts w:hint="eastAsia" w:ascii="仿宋" w:hAnsi="仿宋" w:eastAsia="仿宋" w:cs="宋体"/>
                <w:color w:val="000000"/>
                <w:kern w:val="0"/>
                <w:sz w:val="32"/>
                <w:szCs w:val="32"/>
              </w:rPr>
              <w:t>　</w:t>
            </w:r>
          </w:p>
        </w:tc>
      </w:tr>
      <w:tr>
        <w:tblPrEx>
          <w:tblCellMar>
            <w:top w:w="0" w:type="dxa"/>
            <w:left w:w="108" w:type="dxa"/>
            <w:bottom w:w="0" w:type="dxa"/>
            <w:right w:w="108" w:type="dxa"/>
          </w:tblCellMar>
        </w:tblPrEx>
        <w:trPr>
          <w:trHeight w:val="567" w:hRule="atLeast"/>
          <w:jc w:val="center"/>
        </w:trPr>
        <w:tc>
          <w:tcPr>
            <w:tcW w:w="2094" w:type="dxa"/>
            <w:tcBorders>
              <w:top w:val="nil"/>
              <w:left w:val="single" w:color="auto" w:sz="4" w:space="0"/>
              <w:bottom w:val="single" w:color="auto" w:sz="4" w:space="0"/>
              <w:right w:val="single" w:color="auto" w:sz="4" w:space="0"/>
            </w:tcBorders>
            <w:noWrap w:val="0"/>
            <w:vAlign w:val="top"/>
          </w:tcPr>
          <w:p>
            <w:pPr>
              <w:widowControl/>
              <w:jc w:val="center"/>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微 信 号</w:t>
            </w:r>
          </w:p>
        </w:tc>
        <w:tc>
          <w:tcPr>
            <w:tcW w:w="2586" w:type="dxa"/>
            <w:tcBorders>
              <w:top w:val="nil"/>
              <w:left w:val="nil"/>
              <w:bottom w:val="single" w:color="auto" w:sz="4" w:space="0"/>
              <w:right w:val="single" w:color="auto" w:sz="4" w:space="0"/>
            </w:tcBorders>
            <w:noWrap w:val="0"/>
            <w:vAlign w:val="center"/>
          </w:tcPr>
          <w:p>
            <w:pPr>
              <w:widowControl/>
              <w:rPr>
                <w:rFonts w:ascii="仿宋" w:hAnsi="仿宋" w:eastAsia="仿宋" w:cs="宋体"/>
                <w:color w:val="000000"/>
                <w:kern w:val="0"/>
                <w:sz w:val="32"/>
                <w:szCs w:val="32"/>
              </w:rPr>
            </w:pPr>
          </w:p>
        </w:tc>
        <w:tc>
          <w:tcPr>
            <w:tcW w:w="1825" w:type="dxa"/>
            <w:tcBorders>
              <w:top w:val="nil"/>
              <w:left w:val="nil"/>
              <w:bottom w:val="single" w:color="auto" w:sz="4" w:space="0"/>
              <w:right w:val="single" w:color="auto" w:sz="4" w:space="0"/>
            </w:tcBorders>
            <w:noWrap w:val="0"/>
            <w:vAlign w:val="center"/>
          </w:tcPr>
          <w:p>
            <w:pPr>
              <w:widowControl/>
              <w:jc w:val="center"/>
              <w:rPr>
                <w:rFonts w:ascii="仿宋" w:hAnsi="仿宋" w:eastAsia="仿宋" w:cs="宋体"/>
                <w:color w:val="000000"/>
                <w:kern w:val="0"/>
                <w:sz w:val="32"/>
                <w:szCs w:val="32"/>
              </w:rPr>
            </w:pPr>
            <w:r>
              <w:rPr>
                <w:rFonts w:hint="eastAsia" w:ascii="仿宋" w:hAnsi="仿宋" w:eastAsia="仿宋" w:cs="宋体"/>
                <w:color w:val="000000"/>
                <w:kern w:val="0"/>
                <w:sz w:val="32"/>
                <w:szCs w:val="32"/>
              </w:rPr>
              <w:t>电子邮箱</w:t>
            </w:r>
          </w:p>
        </w:tc>
        <w:tc>
          <w:tcPr>
            <w:tcW w:w="2639" w:type="dxa"/>
            <w:tcBorders>
              <w:top w:val="nil"/>
              <w:left w:val="nil"/>
              <w:bottom w:val="single" w:color="auto" w:sz="4" w:space="0"/>
              <w:right w:val="single" w:color="auto" w:sz="4" w:space="0"/>
            </w:tcBorders>
            <w:noWrap w:val="0"/>
            <w:vAlign w:val="center"/>
          </w:tcPr>
          <w:p>
            <w:pPr>
              <w:widowControl/>
              <w:rPr>
                <w:rFonts w:ascii="仿宋" w:hAnsi="仿宋" w:eastAsia="仿宋" w:cs="宋体"/>
                <w:color w:val="000000"/>
                <w:kern w:val="0"/>
                <w:sz w:val="32"/>
                <w:szCs w:val="32"/>
              </w:rPr>
            </w:pPr>
          </w:p>
        </w:tc>
      </w:tr>
      <w:tr>
        <w:tblPrEx>
          <w:tblCellMar>
            <w:top w:w="0" w:type="dxa"/>
            <w:left w:w="108" w:type="dxa"/>
            <w:bottom w:w="0" w:type="dxa"/>
            <w:right w:w="108" w:type="dxa"/>
          </w:tblCellMar>
        </w:tblPrEx>
        <w:trPr>
          <w:trHeight w:val="1419" w:hRule="atLeast"/>
          <w:jc w:val="center"/>
        </w:trPr>
        <w:tc>
          <w:tcPr>
            <w:tcW w:w="2094" w:type="dxa"/>
            <w:tcBorders>
              <w:top w:val="nil"/>
              <w:left w:val="single" w:color="auto" w:sz="4" w:space="0"/>
              <w:bottom w:val="single" w:color="auto" w:sz="4" w:space="0"/>
              <w:right w:val="single" w:color="auto" w:sz="4" w:space="0"/>
            </w:tcBorders>
            <w:noWrap w:val="0"/>
            <w:vAlign w:val="center"/>
          </w:tcPr>
          <w:p>
            <w:pPr>
              <w:widowControl/>
              <w:jc w:val="center"/>
              <w:rPr>
                <w:rFonts w:ascii="仿宋" w:hAnsi="仿宋" w:eastAsia="仿宋" w:cs="宋体"/>
                <w:color w:val="000000"/>
                <w:kern w:val="0"/>
                <w:sz w:val="32"/>
                <w:szCs w:val="32"/>
              </w:rPr>
            </w:pPr>
            <w:r>
              <w:rPr>
                <w:rFonts w:hint="eastAsia" w:ascii="仿宋" w:hAnsi="仿宋" w:eastAsia="仿宋" w:cs="宋体"/>
                <w:color w:val="000000"/>
                <w:kern w:val="0"/>
                <w:sz w:val="32"/>
                <w:szCs w:val="32"/>
              </w:rPr>
              <w:t>联系地址</w:t>
            </w:r>
          </w:p>
        </w:tc>
        <w:tc>
          <w:tcPr>
            <w:tcW w:w="7050" w:type="dxa"/>
            <w:gridSpan w:val="3"/>
            <w:tcBorders>
              <w:top w:val="single" w:color="auto" w:sz="4" w:space="0"/>
              <w:left w:val="nil"/>
              <w:bottom w:val="single" w:color="auto" w:sz="4" w:space="0"/>
              <w:right w:val="single" w:color="000000" w:sz="4" w:space="0"/>
            </w:tcBorders>
            <w:noWrap w:val="0"/>
            <w:vAlign w:val="center"/>
          </w:tcPr>
          <w:p>
            <w:pPr>
              <w:widowControl/>
              <w:jc w:val="left"/>
              <w:rPr>
                <w:rFonts w:ascii="仿宋" w:hAnsi="仿宋" w:eastAsia="仿宋" w:cs="宋体"/>
                <w:color w:val="000000"/>
                <w:kern w:val="0"/>
                <w:sz w:val="32"/>
                <w:szCs w:val="32"/>
              </w:rPr>
            </w:pPr>
          </w:p>
          <w:p>
            <w:pPr>
              <w:widowControl/>
              <w:jc w:val="left"/>
              <w:rPr>
                <w:rFonts w:ascii="仿宋" w:hAnsi="仿宋" w:eastAsia="仿宋" w:cs="宋体"/>
                <w:color w:val="000000"/>
                <w:kern w:val="0"/>
                <w:sz w:val="32"/>
                <w:szCs w:val="32"/>
              </w:rPr>
            </w:pPr>
          </w:p>
        </w:tc>
      </w:tr>
      <w:tr>
        <w:tblPrEx>
          <w:tblCellMar>
            <w:top w:w="0" w:type="dxa"/>
            <w:left w:w="108" w:type="dxa"/>
            <w:bottom w:w="0" w:type="dxa"/>
            <w:right w:w="108" w:type="dxa"/>
          </w:tblCellMar>
        </w:tblPrEx>
        <w:trPr>
          <w:trHeight w:val="685" w:hRule="atLeast"/>
          <w:jc w:val="center"/>
        </w:trPr>
        <w:tc>
          <w:tcPr>
            <w:tcW w:w="2094" w:type="dxa"/>
            <w:tcBorders>
              <w:top w:val="nil"/>
              <w:left w:val="single" w:color="auto" w:sz="4" w:space="0"/>
              <w:bottom w:val="single" w:color="auto" w:sz="4" w:space="0"/>
              <w:right w:val="single" w:color="auto" w:sz="4" w:space="0"/>
            </w:tcBorders>
            <w:noWrap w:val="0"/>
            <w:vAlign w:val="center"/>
          </w:tcPr>
          <w:p>
            <w:pPr>
              <w:widowControl/>
              <w:jc w:val="center"/>
              <w:rPr>
                <w:rFonts w:ascii="仿宋" w:hAnsi="仿宋" w:eastAsia="仿宋" w:cs="宋体"/>
                <w:color w:val="000000"/>
                <w:kern w:val="0"/>
                <w:sz w:val="32"/>
                <w:szCs w:val="32"/>
              </w:rPr>
            </w:pPr>
            <w:r>
              <w:rPr>
                <w:rFonts w:hint="eastAsia" w:ascii="仿宋" w:hAnsi="仿宋" w:eastAsia="仿宋" w:cs="宋体"/>
                <w:color w:val="000000"/>
                <w:kern w:val="0"/>
                <w:sz w:val="32"/>
                <w:szCs w:val="32"/>
              </w:rPr>
              <w:t>申报</w:t>
            </w:r>
          </w:p>
          <w:p>
            <w:pPr>
              <w:widowControl/>
              <w:jc w:val="center"/>
              <w:rPr>
                <w:rFonts w:ascii="仿宋" w:hAnsi="仿宋" w:eastAsia="仿宋" w:cs="宋体"/>
                <w:color w:val="000000"/>
                <w:kern w:val="0"/>
                <w:sz w:val="32"/>
                <w:szCs w:val="32"/>
              </w:rPr>
            </w:pPr>
            <w:r>
              <w:rPr>
                <w:rFonts w:hint="eastAsia" w:ascii="仿宋" w:hAnsi="仿宋" w:eastAsia="仿宋" w:cs="宋体"/>
                <w:color w:val="000000"/>
                <w:kern w:val="0"/>
                <w:sz w:val="32"/>
                <w:szCs w:val="32"/>
              </w:rPr>
              <w:t>意见</w:t>
            </w:r>
          </w:p>
        </w:tc>
        <w:tc>
          <w:tcPr>
            <w:tcW w:w="7050" w:type="dxa"/>
            <w:gridSpan w:val="3"/>
            <w:tcBorders>
              <w:top w:val="single" w:color="auto" w:sz="4" w:space="0"/>
              <w:left w:val="nil"/>
              <w:bottom w:val="single" w:color="auto" w:sz="4" w:space="0"/>
              <w:right w:val="single" w:color="auto" w:sz="4" w:space="0"/>
            </w:tcBorders>
            <w:noWrap w:val="0"/>
            <w:vAlign w:val="top"/>
          </w:tcPr>
          <w:p>
            <w:pPr>
              <w:widowControl/>
              <w:ind w:firstLine="640" w:firstLineChars="200"/>
              <w:rPr>
                <w:rFonts w:ascii="仿宋" w:hAnsi="仿宋" w:eastAsia="仿宋" w:cs="宋体"/>
                <w:color w:val="000000"/>
                <w:kern w:val="0"/>
                <w:sz w:val="32"/>
                <w:szCs w:val="32"/>
              </w:rPr>
            </w:pPr>
            <w:r>
              <w:rPr>
                <w:rFonts w:hint="eastAsia" w:ascii="仿宋" w:hAnsi="仿宋" w:eastAsia="仿宋" w:cs="宋体"/>
                <w:color w:val="000000"/>
                <w:kern w:val="0"/>
                <w:sz w:val="32"/>
                <w:szCs w:val="32"/>
              </w:rPr>
              <w:t xml:space="preserve">本单位自愿申请参加中国教育装备行业企业信用等级评价活动。   </w:t>
            </w:r>
          </w:p>
          <w:p>
            <w:pPr>
              <w:widowControl/>
              <w:ind w:firstLine="640" w:firstLineChars="200"/>
              <w:rPr>
                <w:rFonts w:ascii="仿宋" w:hAnsi="仿宋" w:eastAsia="仿宋" w:cs="宋体"/>
                <w:color w:val="000000"/>
                <w:kern w:val="0"/>
                <w:sz w:val="32"/>
                <w:szCs w:val="32"/>
              </w:rPr>
            </w:pPr>
            <w:r>
              <w:rPr>
                <w:rFonts w:hint="eastAsia" w:ascii="仿宋" w:hAnsi="仿宋" w:eastAsia="仿宋" w:cs="宋体"/>
                <w:color w:val="000000"/>
                <w:kern w:val="0"/>
                <w:sz w:val="32"/>
                <w:szCs w:val="32"/>
              </w:rPr>
              <w:t xml:space="preserve">               </w:t>
            </w:r>
          </w:p>
          <w:p>
            <w:pPr>
              <w:widowControl/>
              <w:ind w:firstLine="640" w:firstLineChars="200"/>
              <w:rPr>
                <w:rFonts w:ascii="仿宋" w:hAnsi="仿宋" w:eastAsia="仿宋" w:cs="宋体"/>
                <w:color w:val="000000"/>
                <w:kern w:val="0"/>
                <w:sz w:val="32"/>
                <w:szCs w:val="32"/>
              </w:rPr>
            </w:pPr>
            <w:r>
              <w:rPr>
                <w:rFonts w:hint="eastAsia" w:ascii="仿宋" w:hAnsi="仿宋" w:eastAsia="仿宋" w:cs="宋体"/>
                <w:color w:val="000000"/>
                <w:kern w:val="0"/>
                <w:sz w:val="32"/>
                <w:szCs w:val="32"/>
              </w:rPr>
              <w:t xml:space="preserve">                                         </w:t>
            </w:r>
          </w:p>
          <w:p>
            <w:pPr>
              <w:widowControl/>
              <w:ind w:firstLine="3680" w:firstLineChars="1150"/>
              <w:rPr>
                <w:rFonts w:ascii="仿宋" w:hAnsi="仿宋" w:eastAsia="仿宋" w:cs="宋体"/>
                <w:color w:val="000000"/>
                <w:kern w:val="0"/>
                <w:sz w:val="32"/>
                <w:szCs w:val="32"/>
              </w:rPr>
            </w:pPr>
            <w:r>
              <w:rPr>
                <w:rFonts w:hint="eastAsia" w:ascii="仿宋" w:hAnsi="仿宋" w:eastAsia="仿宋" w:cs="宋体"/>
                <w:color w:val="000000"/>
                <w:kern w:val="0"/>
                <w:sz w:val="32"/>
                <w:szCs w:val="32"/>
              </w:rPr>
              <w:t xml:space="preserve"> （公章）                                                </w:t>
            </w:r>
          </w:p>
          <w:p>
            <w:pPr>
              <w:widowControl/>
              <w:ind w:firstLine="3200" w:firstLineChars="1000"/>
              <w:rPr>
                <w:rFonts w:ascii="仿宋" w:hAnsi="仿宋" w:eastAsia="仿宋" w:cs="宋体"/>
                <w:color w:val="000000"/>
                <w:kern w:val="0"/>
                <w:sz w:val="32"/>
                <w:szCs w:val="32"/>
              </w:rPr>
            </w:pPr>
            <w:r>
              <w:rPr>
                <w:rFonts w:hint="eastAsia" w:ascii="仿宋" w:hAnsi="仿宋" w:eastAsia="仿宋" w:cs="宋体"/>
                <w:color w:val="000000"/>
                <w:kern w:val="0"/>
                <w:sz w:val="32"/>
                <w:szCs w:val="32"/>
              </w:rPr>
              <w:t>年     月     日</w:t>
            </w:r>
          </w:p>
        </w:tc>
      </w:tr>
    </w:tbl>
    <w:p>
      <w:pPr>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备注:</w:t>
      </w:r>
    </w:p>
    <w:p>
      <w:pP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1.请填写有效联系方式，含移动电话及微信号等。</w:t>
      </w:r>
    </w:p>
    <w:p>
      <w:pPr>
        <w:jc w:val="left"/>
        <w:rPr>
          <w:rFonts w:hint="eastAsia" w:ascii="仿宋_GB2312" w:hAnsi="仿宋_GB2312" w:eastAsia="仿宋_GB2312" w:cs="仿宋_GB2312"/>
        </w:rPr>
      </w:pPr>
      <w:r>
        <w:rPr>
          <w:rFonts w:hint="eastAsia" w:ascii="仿宋_GB2312" w:hAnsi="仿宋_GB2312" w:eastAsia="仿宋_GB2312" w:cs="仿宋_GB2312"/>
          <w:sz w:val="28"/>
          <w:szCs w:val="28"/>
        </w:rPr>
        <w:t>2.本报名表加盖公章后，在202</w:t>
      </w:r>
      <w:r>
        <w:rPr>
          <w:rFonts w:hint="eastAsia" w:ascii="仿宋_GB2312" w:hAnsi="仿宋_GB2312" w:eastAsia="仿宋_GB2312" w:cs="仿宋_GB2312"/>
          <w:sz w:val="28"/>
          <w:szCs w:val="28"/>
          <w:lang w:val="en-US" w:eastAsia="zh-CN"/>
        </w:rPr>
        <w:t>3</w:t>
      </w:r>
      <w:r>
        <w:rPr>
          <w:rFonts w:hint="eastAsia" w:ascii="仿宋_GB2312" w:hAnsi="仿宋_GB2312" w:eastAsia="仿宋_GB2312" w:cs="仿宋_GB2312"/>
          <w:sz w:val="28"/>
          <w:szCs w:val="28"/>
        </w:rPr>
        <w:t>年4月1</w:t>
      </w:r>
      <w:r>
        <w:rPr>
          <w:rFonts w:hint="eastAsia" w:ascii="仿宋_GB2312" w:hAnsi="仿宋_GB2312" w:eastAsia="仿宋_GB2312" w:cs="仿宋_GB2312"/>
          <w:sz w:val="28"/>
          <w:szCs w:val="28"/>
          <w:lang w:val="en-US" w:eastAsia="zh-CN"/>
        </w:rPr>
        <w:t>4</w:t>
      </w:r>
      <w:r>
        <w:rPr>
          <w:rFonts w:hint="eastAsia" w:ascii="仿宋_GB2312" w:hAnsi="仿宋_GB2312" w:eastAsia="仿宋_GB2312" w:cs="仿宋_GB2312"/>
          <w:sz w:val="28"/>
          <w:szCs w:val="28"/>
        </w:rPr>
        <w:t>日前盖好公章后扫描电子版发送至协会信评工作邮箱xpb@ceeia.cn，并将报名表原件寄送到中国教育装备行业协会。</w:t>
      </w:r>
    </w:p>
    <w:p>
      <w:pPr>
        <w:jc w:val="left"/>
        <w:rPr>
          <w:rFonts w:hint="eastAsia" w:ascii="仿宋" w:hAnsi="仿宋" w:eastAsia="仿宋"/>
          <w:b/>
          <w:w w:val="96"/>
          <w:sz w:val="32"/>
          <w:szCs w:val="32"/>
          <w:lang w:eastAsia="zh-CN"/>
        </w:rPr>
      </w:pPr>
    </w:p>
    <w:sectPr>
      <w:headerReference r:id="rId3" w:type="default"/>
      <w:footerReference r:id="rId4" w:type="default"/>
      <w:pgSz w:w="11906" w:h="16838"/>
      <w:pgMar w:top="1440" w:right="1418" w:bottom="1440"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B463F1E-C7A4-4AE1-A4FA-A6316691C45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2" w:fontKey="{23A69EC1-EDA2-432B-8487-04F2E9A0D144}"/>
  </w:font>
  <w:font w:name="仿宋">
    <w:panose1 w:val="02010609060101010101"/>
    <w:charset w:val="86"/>
    <w:family w:val="modern"/>
    <w:pitch w:val="default"/>
    <w:sig w:usb0="800002BF" w:usb1="38CF7CFA" w:usb2="00000016" w:usb3="00000000" w:csb0="00040001" w:csb1="00000000"/>
    <w:embedRegular r:id="rId3" w:fontKey="{AF588ABE-1788-4522-9F26-356BEB6D39DA}"/>
  </w:font>
  <w:font w:name="方正小标宋简体">
    <w:panose1 w:val="02000000000000000000"/>
    <w:charset w:val="86"/>
    <w:family w:val="script"/>
    <w:pitch w:val="default"/>
    <w:sig w:usb0="00000001" w:usb1="080E0000" w:usb2="00000000" w:usb3="00000000" w:csb0="00040000" w:csb1="00000000"/>
    <w:embedRegular r:id="rId4" w:fontKey="{8A3EC032-06C1-4039-BD1F-E4B07A5D5276}"/>
  </w:font>
  <w:font w:name="方正小标宋_GBK">
    <w:panose1 w:val="02000000000000000000"/>
    <w:charset w:val="86"/>
    <w:family w:val="script"/>
    <w:pitch w:val="default"/>
    <w:sig w:usb0="00000001" w:usb1="080E0000" w:usb2="00000000" w:usb3="00000000" w:csb0="00040000" w:csb1="00000000"/>
    <w:embedRegular r:id="rId5" w:fontKey="{A71D8B47-7EAE-4C0A-95C0-2C5EB11D1C5E}"/>
  </w:font>
  <w:font w:name="华文中宋">
    <w:panose1 w:val="02010600040101010101"/>
    <w:charset w:val="86"/>
    <w:family w:val="auto"/>
    <w:pitch w:val="default"/>
    <w:sig w:usb0="00000287" w:usb1="080F0000" w:usb2="00000000" w:usb3="00000000" w:csb0="0004009F" w:csb1="DFD70000"/>
    <w:embedRegular r:id="rId6" w:fontKey="{AD4353FE-AC0D-4940-B62B-A72C91837B3D}"/>
  </w:font>
  <w:font w:name="微软雅黑">
    <w:panose1 w:val="020B0503020204020204"/>
    <w:charset w:val="86"/>
    <w:family w:val="swiss"/>
    <w:pitch w:val="default"/>
    <w:sig w:usb0="80000287" w:usb1="2ACF3C50" w:usb2="00000016" w:usb3="00000000" w:csb0="0004001F" w:csb1="00000000"/>
    <w:embedRegular r:id="rId7" w:fontKey="{07EF548E-E0EA-48CB-B453-6C2E11F42A73}"/>
  </w:font>
  <w:font w:name="方正公文小标宋">
    <w:panose1 w:val="02000500000000000000"/>
    <w:charset w:val="86"/>
    <w:family w:val="auto"/>
    <w:pitch w:val="default"/>
    <w:sig w:usb0="A00002BF" w:usb1="38CF7CFA" w:usb2="00000016" w:usb3="00000000" w:csb0="00040001" w:csb1="00000000"/>
  </w:font>
  <w:font w:name="方正仿宋_GB2312">
    <w:panose1 w:val="02000000000000000000"/>
    <w:charset w:val="86"/>
    <w:family w:val="auto"/>
    <w:pitch w:val="default"/>
    <w:sig w:usb0="A00002BF" w:usb1="184F6CFA" w:usb2="00000012" w:usb3="00000000" w:csb0="00040001" w:csb1="00000000"/>
  </w:font>
  <w:font w:name="华文行楷">
    <w:panose1 w:val="02010800040101010101"/>
    <w:charset w:val="86"/>
    <w:family w:val="auto"/>
    <w:pitch w:val="default"/>
    <w:sig w:usb0="00000001" w:usb1="080F0000" w:usb2="00000000" w:usb3="00000000" w:csb0="00040000" w:csb1="00000000"/>
  </w:font>
  <w:font w:name="方正姚体">
    <w:panose1 w:val="02010601030101010101"/>
    <w:charset w:val="86"/>
    <w:family w:val="auto"/>
    <w:pitch w:val="default"/>
    <w:sig w:usb0="00000003" w:usb1="080E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GungsuhChe">
    <w:panose1 w:val="02030609000101010101"/>
    <w:charset w:val="81"/>
    <w:family w:val="auto"/>
    <w:pitch w:val="default"/>
    <w:sig w:usb0="B00002AF" w:usb1="69D77CFB" w:usb2="00000030" w:usb3="00000000" w:csb0="4008009F" w:csb1="DFD70000"/>
  </w:font>
  <w:font w:name="Microsoft JhengHei Light">
    <w:panose1 w:val="020B0304030504040204"/>
    <w:charset w:val="88"/>
    <w:family w:val="auto"/>
    <w:pitch w:val="default"/>
    <w:sig w:usb0="800002A7" w:usb1="28CF4400" w:usb2="00000016" w:usb3="00000000" w:csb0="00100009" w:csb1="00000000"/>
  </w:font>
  <w:font w:name="PMingLiU">
    <w:panose1 w:val="02020500000000000000"/>
    <w:charset w:val="88"/>
    <w:family w:val="auto"/>
    <w:pitch w:val="default"/>
    <w:sig w:usb0="A00002FF" w:usb1="28CFFCFA" w:usb2="00000016" w:usb3="00000000" w:csb0="00100001" w:csb1="00000000"/>
  </w:font>
  <w:font w:name="Yu Gothic UI Light">
    <w:panose1 w:val="020B0300000000000000"/>
    <w:charset w:val="80"/>
    <w:family w:val="auto"/>
    <w:pitch w:val="default"/>
    <w:sig w:usb0="E00002FF" w:usb1="2AC7FDFF" w:usb2="00000016" w:usb3="00000000" w:csb0="2002009F" w:csb1="00000000"/>
  </w:font>
  <w:font w:name="AngsanaUPC">
    <w:panose1 w:val="02020603050405020304"/>
    <w:charset w:val="00"/>
    <w:family w:val="auto"/>
    <w:pitch w:val="default"/>
    <w:sig w:usb0="81000003" w:usb1="00000000" w:usb2="00000000" w:usb3="00000000" w:csb0="00010001" w:csb1="00000000"/>
  </w:font>
  <w:font w:name="Bahnschrift">
    <w:panose1 w:val="020B0502040204020203"/>
    <w:charset w:val="00"/>
    <w:family w:val="auto"/>
    <w:pitch w:val="default"/>
    <w:sig w:usb0="A00002C7" w:usb1="00000002" w:usb2="00000000" w:usb3="00000000" w:csb0="2000019F" w:csb1="00000000"/>
  </w:font>
  <w:font w:name="Berlin Sans FB Demi">
    <w:panose1 w:val="020E0802020502020306"/>
    <w:charset w:val="00"/>
    <w:family w:val="auto"/>
    <w:pitch w:val="default"/>
    <w:sig w:usb0="00000003" w:usb1="00000000" w:usb2="00000000" w:usb3="00000000" w:csb0="20000001" w:csb1="00000000"/>
  </w:font>
  <w:font w:name="Broadway">
    <w:panose1 w:val="04040905080B02020502"/>
    <w:charset w:val="00"/>
    <w:family w:val="auto"/>
    <w:pitch w:val="default"/>
    <w:sig w:usb0="00000003" w:usb1="00000000" w:usb2="00000000" w:usb3="00000000" w:csb0="20000001" w:csb1="00000000"/>
  </w:font>
  <w:font w:name="Browallia New">
    <w:panose1 w:val="020B0604020202020204"/>
    <w:charset w:val="00"/>
    <w:family w:val="auto"/>
    <w:pitch w:val="default"/>
    <w:sig w:usb0="81000003" w:usb1="00000000" w:usb2="00000000" w:usb3="00000000" w:csb0="00010001" w:csb1="00000000"/>
  </w:font>
  <w:font w:name="Modern No. 20">
    <w:panose1 w:val="02070704070505020303"/>
    <w:charset w:val="00"/>
    <w:family w:val="auto"/>
    <w:pitch w:val="default"/>
    <w:sig w:usb0="00000003" w:usb1="00000000" w:usb2="00000000" w:usb3="00000000" w:csb0="20000001" w:csb1="00000000"/>
  </w:font>
  <w:font w:name="MT Extra">
    <w:panose1 w:val="05050102010205020202"/>
    <w:charset w:val="00"/>
    <w:family w:val="auto"/>
    <w:pitch w:val="default"/>
    <w:sig w:usb0="80000000" w:usb1="00000000" w:usb2="00000000" w:usb3="00000000" w:csb0="00000000" w:csb1="00000000"/>
  </w:font>
  <w:font w:name="Niagara Engraved">
    <w:panose1 w:val="04020502070703030202"/>
    <w:charset w:val="00"/>
    <w:family w:val="auto"/>
    <w:pitch w:val="default"/>
    <w:sig w:usb0="00000003" w:usb1="00000000" w:usb2="00000000" w:usb3="00000000" w:csb0="20000001" w:csb1="00000000"/>
  </w:font>
  <w:font w:name="Niagara Solid">
    <w:panose1 w:val="04020502070702020202"/>
    <w:charset w:val="00"/>
    <w:family w:val="auto"/>
    <w:pitch w:val="default"/>
    <w:sig w:usb0="00000003" w:usb1="00000000" w:usb2="00000000" w:usb3="00000000" w:csb0="20000001" w:csb1="00000000"/>
  </w:font>
  <w:font w:name="Nyala">
    <w:panose1 w:val="02000504070300020003"/>
    <w:charset w:val="00"/>
    <w:family w:val="auto"/>
    <w:pitch w:val="default"/>
    <w:sig w:usb0="A000006F" w:usb1="00000000" w:usb2="00000800" w:usb3="00000000" w:csb0="00000093" w:csb1="00000000"/>
  </w:font>
  <w:font w:name="NumberOnly">
    <w:panose1 w:val="020B0500000000000000"/>
    <w:charset w:val="00"/>
    <w:family w:val="auto"/>
    <w:pitch w:val="default"/>
    <w:sig w:usb0="8000002F" w:usb1="10000048" w:usb2="00000000" w:usb3="00000000" w:csb0="00000111" w:csb1="40000000"/>
  </w:font>
  <w:font w:name="Nirmala UI Semilight">
    <w:panose1 w:val="020B0402040204020203"/>
    <w:charset w:val="00"/>
    <w:family w:val="auto"/>
    <w:pitch w:val="default"/>
    <w:sig w:usb0="80FF8023" w:usb1="0200004A" w:usb2="00000200" w:usb3="00040000" w:csb0="00000001" w:csb1="00000000"/>
  </w:font>
  <w:font w:name="Segoe UI Variable Display">
    <w:panose1 w:val="00000000000000000000"/>
    <w:charset w:val="00"/>
    <w:family w:val="auto"/>
    <w:pitch w:val="default"/>
    <w:sig w:usb0="A00002FF" w:usb1="0000000B" w:usb2="00000000" w:usb3="00000000" w:csb0="2000019F" w:csb1="00000000"/>
  </w:font>
  <w:font w:name="Segoe UI Variable Small Light">
    <w:panose1 w:val="00000000000000000000"/>
    <w:charset w:val="00"/>
    <w:family w:val="auto"/>
    <w:pitch w:val="default"/>
    <w:sig w:usb0="A00002FF" w:usb1="0000000B" w:usb2="00000000" w:usb3="00000000" w:csb0="2000019F" w:csb1="00000000"/>
  </w:font>
  <w:font w:name="Segoe UI Variable Text Semibold">
    <w:panose1 w:val="00000000000000000000"/>
    <w:charset w:val="00"/>
    <w:family w:val="auto"/>
    <w:pitch w:val="default"/>
    <w:sig w:usb0="A00002FF" w:usb1="0000000B" w:usb2="00000000" w:usb3="00000000" w:csb0="2000019F" w:csb1="00000000"/>
  </w:font>
  <w:font w:name="Shonar Bangla">
    <w:panose1 w:val="020B0502040204020203"/>
    <w:charset w:val="00"/>
    <w:family w:val="auto"/>
    <w:pitch w:val="default"/>
    <w:sig w:usb0="00010003" w:usb1="00000000" w:usb2="00000000" w:usb3="00000000" w:csb0="00000001" w:csb1="00000000"/>
  </w:font>
  <w:font w:name="Sitka Banner">
    <w:panose1 w:val="00000000000000000000"/>
    <w:charset w:val="00"/>
    <w:family w:val="auto"/>
    <w:pitch w:val="default"/>
    <w:sig w:usb0="A00002EF" w:usb1="4000204B" w:usb2="00000000" w:usb3="00000000" w:csb0="2000019F" w:csb1="00000000"/>
  </w:font>
  <w:font w:name="Sitka Subheading Semibold">
    <w:panose1 w:val="00000000000000000000"/>
    <w:charset w:val="00"/>
    <w:family w:val="auto"/>
    <w:pitch w:val="default"/>
    <w:sig w:usb0="A00002EF" w:usb1="4000204B" w:usb2="00000000" w:usb3="00000000" w:csb0="2000019F" w:csb1="00000000"/>
  </w:font>
  <w:font w:name="Tunga">
    <w:panose1 w:val="020B0502040204020203"/>
    <w:charset w:val="00"/>
    <w:family w:val="auto"/>
    <w:pitch w:val="default"/>
    <w:sig w:usb0="00400003" w:usb1="00000000" w:usb2="00000000" w:usb3="00000000" w:csb0="00000001" w:csb1="00000000"/>
  </w:font>
  <w:font w:name="Viner Hand ITC">
    <w:panose1 w:val="03070502030502020203"/>
    <w:charset w:val="00"/>
    <w:family w:val="auto"/>
    <w:pitch w:val="default"/>
    <w:sig w:usb0="00000003" w:usb1="00000000" w:usb2="00000000" w:usb3="00000000" w:csb0="20000001" w:csb1="00000000"/>
  </w:font>
  <w:font w:name="Traditional Arabic">
    <w:panose1 w:val="02020603050405020304"/>
    <w:charset w:val="00"/>
    <w:family w:val="auto"/>
    <w:pitch w:val="default"/>
    <w:sig w:usb0="00006003" w:usb1="80000000" w:usb2="00000008" w:usb3="00000000" w:csb0="00000041" w:csb1="200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pict>
        <v:shape id="_x0000_s2049" o:spid="_x0000_s2049"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joinstyle="miter"/>
          <v:imagedata o:title=""/>
          <o:lock v:ext="edit"/>
          <v:textbox inset="0mm,0mm,0mm,0mm" style="mso-fit-shape-to-text:t;">
            <w:txbxContent>
              <w:p>
                <w:pPr>
                  <w:pStyle w:val="3"/>
                  <w:jc w:val="center"/>
                </w:pPr>
                <w:r>
                  <w:fldChar w:fldCharType="begin"/>
                </w:r>
                <w:r>
                  <w:instrText xml:space="preserve"> PAGE   \* MERGEFORMAT </w:instrText>
                </w:r>
                <w:r>
                  <w:fldChar w:fldCharType="separate"/>
                </w:r>
                <w:r>
                  <w:rPr>
                    <w:lang w:val="zh-CN"/>
                  </w:rPr>
                  <w:t>3</w:t>
                </w:r>
                <w:r>
                  <w:rPr>
                    <w:lang w:val="zh-CN"/>
                  </w:rPr>
                  <w:fldChar w:fldCharType="end"/>
                </w:r>
              </w:p>
            </w:txbxContent>
          </v:textbox>
        </v:shape>
      </w:pict>
    </w:r>
  </w:p>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zQ5OWVkODI4NmE1ZTkyZGZlNTc5MjU3NTY3Y2Q2NjEifQ=="/>
  </w:docVars>
  <w:rsids>
    <w:rsidRoot w:val="00967341"/>
    <w:rsid w:val="00004DA4"/>
    <w:rsid w:val="00010026"/>
    <w:rsid w:val="00010456"/>
    <w:rsid w:val="00014380"/>
    <w:rsid w:val="000166B3"/>
    <w:rsid w:val="00026756"/>
    <w:rsid w:val="00043DB4"/>
    <w:rsid w:val="00044534"/>
    <w:rsid w:val="00056793"/>
    <w:rsid w:val="0007632E"/>
    <w:rsid w:val="00081B1C"/>
    <w:rsid w:val="00094C90"/>
    <w:rsid w:val="000978CF"/>
    <w:rsid w:val="000A13DB"/>
    <w:rsid w:val="000A5096"/>
    <w:rsid w:val="000B5701"/>
    <w:rsid w:val="000B5BBE"/>
    <w:rsid w:val="000B6E2A"/>
    <w:rsid w:val="000D67D2"/>
    <w:rsid w:val="000E4300"/>
    <w:rsid w:val="000F318A"/>
    <w:rsid w:val="000F4290"/>
    <w:rsid w:val="001033D2"/>
    <w:rsid w:val="00103A12"/>
    <w:rsid w:val="00120CE7"/>
    <w:rsid w:val="001277E6"/>
    <w:rsid w:val="00127E4C"/>
    <w:rsid w:val="00130930"/>
    <w:rsid w:val="001474F2"/>
    <w:rsid w:val="00171D81"/>
    <w:rsid w:val="001806D0"/>
    <w:rsid w:val="0018384D"/>
    <w:rsid w:val="00187F43"/>
    <w:rsid w:val="001A349B"/>
    <w:rsid w:val="001B35F7"/>
    <w:rsid w:val="001C0F9F"/>
    <w:rsid w:val="001D0F61"/>
    <w:rsid w:val="001D366F"/>
    <w:rsid w:val="001E4E91"/>
    <w:rsid w:val="001E584F"/>
    <w:rsid w:val="001E5F04"/>
    <w:rsid w:val="001E6EB9"/>
    <w:rsid w:val="001F2527"/>
    <w:rsid w:val="002004EE"/>
    <w:rsid w:val="0021758C"/>
    <w:rsid w:val="00220FB6"/>
    <w:rsid w:val="002341A3"/>
    <w:rsid w:val="00234597"/>
    <w:rsid w:val="002347BF"/>
    <w:rsid w:val="00235765"/>
    <w:rsid w:val="002411BE"/>
    <w:rsid w:val="00255350"/>
    <w:rsid w:val="002554A4"/>
    <w:rsid w:val="00260A53"/>
    <w:rsid w:val="00264CF3"/>
    <w:rsid w:val="00265A44"/>
    <w:rsid w:val="00266B70"/>
    <w:rsid w:val="00267CEC"/>
    <w:rsid w:val="00271311"/>
    <w:rsid w:val="00286BCE"/>
    <w:rsid w:val="002A50BB"/>
    <w:rsid w:val="002B34E6"/>
    <w:rsid w:val="002D35E8"/>
    <w:rsid w:val="002E094D"/>
    <w:rsid w:val="002E2F0B"/>
    <w:rsid w:val="002E3C21"/>
    <w:rsid w:val="00301CE6"/>
    <w:rsid w:val="00312929"/>
    <w:rsid w:val="0031580A"/>
    <w:rsid w:val="00322D2A"/>
    <w:rsid w:val="003245A2"/>
    <w:rsid w:val="003247FA"/>
    <w:rsid w:val="00327BED"/>
    <w:rsid w:val="0033571C"/>
    <w:rsid w:val="0034559E"/>
    <w:rsid w:val="003530A6"/>
    <w:rsid w:val="00354575"/>
    <w:rsid w:val="00361617"/>
    <w:rsid w:val="003657F4"/>
    <w:rsid w:val="00371AAB"/>
    <w:rsid w:val="00381F46"/>
    <w:rsid w:val="00387837"/>
    <w:rsid w:val="00390352"/>
    <w:rsid w:val="00392E18"/>
    <w:rsid w:val="00395570"/>
    <w:rsid w:val="003A6169"/>
    <w:rsid w:val="003C3AF8"/>
    <w:rsid w:val="003C4A2F"/>
    <w:rsid w:val="003C51ED"/>
    <w:rsid w:val="003C5B0A"/>
    <w:rsid w:val="003C6EB3"/>
    <w:rsid w:val="003E2E33"/>
    <w:rsid w:val="003F4CD2"/>
    <w:rsid w:val="00404FD1"/>
    <w:rsid w:val="004058FA"/>
    <w:rsid w:val="00417304"/>
    <w:rsid w:val="0042218E"/>
    <w:rsid w:val="00461863"/>
    <w:rsid w:val="00467560"/>
    <w:rsid w:val="00472E81"/>
    <w:rsid w:val="00476432"/>
    <w:rsid w:val="00483DC7"/>
    <w:rsid w:val="004876E7"/>
    <w:rsid w:val="004A6070"/>
    <w:rsid w:val="004A60C7"/>
    <w:rsid w:val="004A6A53"/>
    <w:rsid w:val="004B5826"/>
    <w:rsid w:val="004C64ED"/>
    <w:rsid w:val="004D392E"/>
    <w:rsid w:val="004D3E57"/>
    <w:rsid w:val="004E0920"/>
    <w:rsid w:val="004E0E24"/>
    <w:rsid w:val="004E18DA"/>
    <w:rsid w:val="004F4038"/>
    <w:rsid w:val="004F590D"/>
    <w:rsid w:val="00506903"/>
    <w:rsid w:val="005069F3"/>
    <w:rsid w:val="00513C5F"/>
    <w:rsid w:val="005157DE"/>
    <w:rsid w:val="00524D99"/>
    <w:rsid w:val="00525AE4"/>
    <w:rsid w:val="00526DE2"/>
    <w:rsid w:val="005327A4"/>
    <w:rsid w:val="00537FC0"/>
    <w:rsid w:val="005423F7"/>
    <w:rsid w:val="00546AE3"/>
    <w:rsid w:val="0055533F"/>
    <w:rsid w:val="005715F5"/>
    <w:rsid w:val="00582EE2"/>
    <w:rsid w:val="00583FF2"/>
    <w:rsid w:val="005A513C"/>
    <w:rsid w:val="005A5DBE"/>
    <w:rsid w:val="005B1ED0"/>
    <w:rsid w:val="005C5B26"/>
    <w:rsid w:val="005E0D7C"/>
    <w:rsid w:val="005E34BB"/>
    <w:rsid w:val="005E34D0"/>
    <w:rsid w:val="005F5BBE"/>
    <w:rsid w:val="005F61E4"/>
    <w:rsid w:val="00612FEC"/>
    <w:rsid w:val="00615B21"/>
    <w:rsid w:val="00617C4F"/>
    <w:rsid w:val="00625EB4"/>
    <w:rsid w:val="00637B19"/>
    <w:rsid w:val="00643CFE"/>
    <w:rsid w:val="00644F37"/>
    <w:rsid w:val="006451FF"/>
    <w:rsid w:val="00653952"/>
    <w:rsid w:val="00671924"/>
    <w:rsid w:val="00675D29"/>
    <w:rsid w:val="006A3AB1"/>
    <w:rsid w:val="006A3CF4"/>
    <w:rsid w:val="006A565F"/>
    <w:rsid w:val="006A5C69"/>
    <w:rsid w:val="006A66DE"/>
    <w:rsid w:val="006B14C5"/>
    <w:rsid w:val="006C3902"/>
    <w:rsid w:val="006D6135"/>
    <w:rsid w:val="006E0696"/>
    <w:rsid w:val="006E469B"/>
    <w:rsid w:val="006E4CAA"/>
    <w:rsid w:val="007003F8"/>
    <w:rsid w:val="007039CB"/>
    <w:rsid w:val="007112E1"/>
    <w:rsid w:val="00712412"/>
    <w:rsid w:val="00713D5A"/>
    <w:rsid w:val="0072068A"/>
    <w:rsid w:val="00724EF0"/>
    <w:rsid w:val="00737616"/>
    <w:rsid w:val="007619E0"/>
    <w:rsid w:val="00763AA9"/>
    <w:rsid w:val="00785201"/>
    <w:rsid w:val="00785A74"/>
    <w:rsid w:val="00785C0F"/>
    <w:rsid w:val="007924FA"/>
    <w:rsid w:val="007936CE"/>
    <w:rsid w:val="00795725"/>
    <w:rsid w:val="00796D4B"/>
    <w:rsid w:val="00797522"/>
    <w:rsid w:val="007B288D"/>
    <w:rsid w:val="007B7256"/>
    <w:rsid w:val="007C3875"/>
    <w:rsid w:val="007D0674"/>
    <w:rsid w:val="007D53CC"/>
    <w:rsid w:val="007E0EA3"/>
    <w:rsid w:val="007F1661"/>
    <w:rsid w:val="007F1D1A"/>
    <w:rsid w:val="007F3217"/>
    <w:rsid w:val="00801EF3"/>
    <w:rsid w:val="0082378A"/>
    <w:rsid w:val="0082716E"/>
    <w:rsid w:val="00827713"/>
    <w:rsid w:val="00833F81"/>
    <w:rsid w:val="00835114"/>
    <w:rsid w:val="00836C9D"/>
    <w:rsid w:val="00840D65"/>
    <w:rsid w:val="00847CB3"/>
    <w:rsid w:val="0085046C"/>
    <w:rsid w:val="00852B51"/>
    <w:rsid w:val="0086129C"/>
    <w:rsid w:val="0087765B"/>
    <w:rsid w:val="00887D74"/>
    <w:rsid w:val="008940DB"/>
    <w:rsid w:val="008C269D"/>
    <w:rsid w:val="008C6A49"/>
    <w:rsid w:val="008D3FA0"/>
    <w:rsid w:val="008F7FBE"/>
    <w:rsid w:val="00900C3E"/>
    <w:rsid w:val="009155F1"/>
    <w:rsid w:val="0092527D"/>
    <w:rsid w:val="009303A7"/>
    <w:rsid w:val="0093133B"/>
    <w:rsid w:val="0093499E"/>
    <w:rsid w:val="00937F36"/>
    <w:rsid w:val="0094226B"/>
    <w:rsid w:val="00945C04"/>
    <w:rsid w:val="00967341"/>
    <w:rsid w:val="0097202C"/>
    <w:rsid w:val="00975DB6"/>
    <w:rsid w:val="009817C3"/>
    <w:rsid w:val="009840F2"/>
    <w:rsid w:val="009900D1"/>
    <w:rsid w:val="0099048D"/>
    <w:rsid w:val="00993FF9"/>
    <w:rsid w:val="009A693C"/>
    <w:rsid w:val="009B5640"/>
    <w:rsid w:val="009C26BA"/>
    <w:rsid w:val="009C687A"/>
    <w:rsid w:val="009C6FF4"/>
    <w:rsid w:val="009E1ADF"/>
    <w:rsid w:val="009E2004"/>
    <w:rsid w:val="009E4AA9"/>
    <w:rsid w:val="009F2D41"/>
    <w:rsid w:val="009F3132"/>
    <w:rsid w:val="00A0065E"/>
    <w:rsid w:val="00A146C0"/>
    <w:rsid w:val="00A26B3E"/>
    <w:rsid w:val="00A27438"/>
    <w:rsid w:val="00A4528B"/>
    <w:rsid w:val="00A53A8C"/>
    <w:rsid w:val="00A5762E"/>
    <w:rsid w:val="00A6080D"/>
    <w:rsid w:val="00A70047"/>
    <w:rsid w:val="00A766F6"/>
    <w:rsid w:val="00A806A6"/>
    <w:rsid w:val="00A80B1F"/>
    <w:rsid w:val="00A81C33"/>
    <w:rsid w:val="00A84550"/>
    <w:rsid w:val="00A92D11"/>
    <w:rsid w:val="00AA0823"/>
    <w:rsid w:val="00AA10DA"/>
    <w:rsid w:val="00AB0ADF"/>
    <w:rsid w:val="00AB3D2E"/>
    <w:rsid w:val="00AB5C4A"/>
    <w:rsid w:val="00AB6C90"/>
    <w:rsid w:val="00AB6E1D"/>
    <w:rsid w:val="00AC2BAD"/>
    <w:rsid w:val="00AC6F48"/>
    <w:rsid w:val="00AE1147"/>
    <w:rsid w:val="00AE6667"/>
    <w:rsid w:val="00AF2650"/>
    <w:rsid w:val="00AF2FCA"/>
    <w:rsid w:val="00AF58F9"/>
    <w:rsid w:val="00B01910"/>
    <w:rsid w:val="00B04F44"/>
    <w:rsid w:val="00B05B85"/>
    <w:rsid w:val="00B135C7"/>
    <w:rsid w:val="00B151FD"/>
    <w:rsid w:val="00B15805"/>
    <w:rsid w:val="00B23A60"/>
    <w:rsid w:val="00B27307"/>
    <w:rsid w:val="00B313D5"/>
    <w:rsid w:val="00B3724A"/>
    <w:rsid w:val="00B43A5C"/>
    <w:rsid w:val="00B4426B"/>
    <w:rsid w:val="00B448A5"/>
    <w:rsid w:val="00B53C45"/>
    <w:rsid w:val="00B53F92"/>
    <w:rsid w:val="00B86940"/>
    <w:rsid w:val="00B96E02"/>
    <w:rsid w:val="00B97094"/>
    <w:rsid w:val="00BC5570"/>
    <w:rsid w:val="00BC5C5D"/>
    <w:rsid w:val="00BD1D51"/>
    <w:rsid w:val="00BD25C1"/>
    <w:rsid w:val="00BD6D01"/>
    <w:rsid w:val="00BE2A49"/>
    <w:rsid w:val="00C07F9D"/>
    <w:rsid w:val="00C17B17"/>
    <w:rsid w:val="00C2394D"/>
    <w:rsid w:val="00C30608"/>
    <w:rsid w:val="00C30C79"/>
    <w:rsid w:val="00C34DEA"/>
    <w:rsid w:val="00C42667"/>
    <w:rsid w:val="00C50EDA"/>
    <w:rsid w:val="00C557D3"/>
    <w:rsid w:val="00C813B8"/>
    <w:rsid w:val="00C862F4"/>
    <w:rsid w:val="00CB79E0"/>
    <w:rsid w:val="00CC0531"/>
    <w:rsid w:val="00CD4C58"/>
    <w:rsid w:val="00CE68FD"/>
    <w:rsid w:val="00D00BA1"/>
    <w:rsid w:val="00D02ABD"/>
    <w:rsid w:val="00D03087"/>
    <w:rsid w:val="00D12065"/>
    <w:rsid w:val="00D25B66"/>
    <w:rsid w:val="00D369E5"/>
    <w:rsid w:val="00D36B2D"/>
    <w:rsid w:val="00D466AA"/>
    <w:rsid w:val="00D566F4"/>
    <w:rsid w:val="00D57797"/>
    <w:rsid w:val="00D64BDD"/>
    <w:rsid w:val="00D653F4"/>
    <w:rsid w:val="00D76A02"/>
    <w:rsid w:val="00D82DAB"/>
    <w:rsid w:val="00D85F15"/>
    <w:rsid w:val="00D87676"/>
    <w:rsid w:val="00DA0EE5"/>
    <w:rsid w:val="00DA2BD5"/>
    <w:rsid w:val="00DA5490"/>
    <w:rsid w:val="00DA7B9D"/>
    <w:rsid w:val="00DC7716"/>
    <w:rsid w:val="00DD00A3"/>
    <w:rsid w:val="00E00003"/>
    <w:rsid w:val="00E35882"/>
    <w:rsid w:val="00E4776F"/>
    <w:rsid w:val="00E66718"/>
    <w:rsid w:val="00E71672"/>
    <w:rsid w:val="00E86592"/>
    <w:rsid w:val="00E93E85"/>
    <w:rsid w:val="00E93F83"/>
    <w:rsid w:val="00EB47CE"/>
    <w:rsid w:val="00EB6FFB"/>
    <w:rsid w:val="00EC30D1"/>
    <w:rsid w:val="00EC3F4C"/>
    <w:rsid w:val="00ED1261"/>
    <w:rsid w:val="00EE45AC"/>
    <w:rsid w:val="00EF3F31"/>
    <w:rsid w:val="00F03301"/>
    <w:rsid w:val="00F225BE"/>
    <w:rsid w:val="00F23C2D"/>
    <w:rsid w:val="00F31395"/>
    <w:rsid w:val="00F31E0F"/>
    <w:rsid w:val="00F36CB3"/>
    <w:rsid w:val="00F37737"/>
    <w:rsid w:val="00F6004E"/>
    <w:rsid w:val="00F60394"/>
    <w:rsid w:val="00F74578"/>
    <w:rsid w:val="00F93EBC"/>
    <w:rsid w:val="00FB72B5"/>
    <w:rsid w:val="00FC175C"/>
    <w:rsid w:val="00FC74D0"/>
    <w:rsid w:val="00FF5F11"/>
    <w:rsid w:val="01CE58D7"/>
    <w:rsid w:val="02272CD6"/>
    <w:rsid w:val="030E21B2"/>
    <w:rsid w:val="030F3BE9"/>
    <w:rsid w:val="032F672A"/>
    <w:rsid w:val="03397172"/>
    <w:rsid w:val="03AF1619"/>
    <w:rsid w:val="040354C1"/>
    <w:rsid w:val="0733226B"/>
    <w:rsid w:val="07A571C5"/>
    <w:rsid w:val="080645F3"/>
    <w:rsid w:val="09023F99"/>
    <w:rsid w:val="0A8A76A0"/>
    <w:rsid w:val="0B6F1DF6"/>
    <w:rsid w:val="10AF0CC1"/>
    <w:rsid w:val="117737FB"/>
    <w:rsid w:val="11934328"/>
    <w:rsid w:val="119F7590"/>
    <w:rsid w:val="15340E26"/>
    <w:rsid w:val="15CD642A"/>
    <w:rsid w:val="17887B08"/>
    <w:rsid w:val="19502AFF"/>
    <w:rsid w:val="1A1678A4"/>
    <w:rsid w:val="1A562A29"/>
    <w:rsid w:val="1B130F83"/>
    <w:rsid w:val="1C4E5A1B"/>
    <w:rsid w:val="1C5C7271"/>
    <w:rsid w:val="1F353856"/>
    <w:rsid w:val="1F55443C"/>
    <w:rsid w:val="1FD907F7"/>
    <w:rsid w:val="20543C27"/>
    <w:rsid w:val="2147675C"/>
    <w:rsid w:val="216F74D4"/>
    <w:rsid w:val="249E0BC2"/>
    <w:rsid w:val="250E3F9A"/>
    <w:rsid w:val="26BA6E98"/>
    <w:rsid w:val="26CC6A38"/>
    <w:rsid w:val="29810D04"/>
    <w:rsid w:val="29A053DC"/>
    <w:rsid w:val="29D37560"/>
    <w:rsid w:val="2A887682"/>
    <w:rsid w:val="2B212510"/>
    <w:rsid w:val="2B710DDE"/>
    <w:rsid w:val="316A05FF"/>
    <w:rsid w:val="316F4012"/>
    <w:rsid w:val="31CA464E"/>
    <w:rsid w:val="332B3DBF"/>
    <w:rsid w:val="341B583D"/>
    <w:rsid w:val="341D61C9"/>
    <w:rsid w:val="368276F9"/>
    <w:rsid w:val="38201FFE"/>
    <w:rsid w:val="385950D4"/>
    <w:rsid w:val="3BBD3424"/>
    <w:rsid w:val="3CE71BB0"/>
    <w:rsid w:val="3D2A703F"/>
    <w:rsid w:val="3F6D76B7"/>
    <w:rsid w:val="3F746C97"/>
    <w:rsid w:val="3F870779"/>
    <w:rsid w:val="41C15874"/>
    <w:rsid w:val="45D41E46"/>
    <w:rsid w:val="46D43BFE"/>
    <w:rsid w:val="47243313"/>
    <w:rsid w:val="48DD58AD"/>
    <w:rsid w:val="4AEC002A"/>
    <w:rsid w:val="4FEB6B02"/>
    <w:rsid w:val="5204740C"/>
    <w:rsid w:val="52B80E29"/>
    <w:rsid w:val="556F4CA5"/>
    <w:rsid w:val="56FA516C"/>
    <w:rsid w:val="584F00F7"/>
    <w:rsid w:val="594B5323"/>
    <w:rsid w:val="5AA73062"/>
    <w:rsid w:val="5AFE1887"/>
    <w:rsid w:val="5B0944D9"/>
    <w:rsid w:val="5C262B8F"/>
    <w:rsid w:val="5C930305"/>
    <w:rsid w:val="5D4D30C7"/>
    <w:rsid w:val="5F467269"/>
    <w:rsid w:val="5F5852F0"/>
    <w:rsid w:val="5F667F53"/>
    <w:rsid w:val="629244AA"/>
    <w:rsid w:val="631652DC"/>
    <w:rsid w:val="66C0619B"/>
    <w:rsid w:val="67FE19E3"/>
    <w:rsid w:val="681539AF"/>
    <w:rsid w:val="68C1582A"/>
    <w:rsid w:val="692A2E8D"/>
    <w:rsid w:val="693D6C33"/>
    <w:rsid w:val="6B462B9E"/>
    <w:rsid w:val="6BA928D0"/>
    <w:rsid w:val="6BB1045D"/>
    <w:rsid w:val="6CB813DC"/>
    <w:rsid w:val="6D6A50B2"/>
    <w:rsid w:val="6D7F7D3A"/>
    <w:rsid w:val="6EFF455E"/>
    <w:rsid w:val="6FD61592"/>
    <w:rsid w:val="701B2694"/>
    <w:rsid w:val="70D5125B"/>
    <w:rsid w:val="71106BE4"/>
    <w:rsid w:val="728A3B01"/>
    <w:rsid w:val="72A55979"/>
    <w:rsid w:val="73124222"/>
    <w:rsid w:val="74471DA8"/>
    <w:rsid w:val="74C21275"/>
    <w:rsid w:val="76360227"/>
    <w:rsid w:val="76AA57D9"/>
    <w:rsid w:val="76B61368"/>
    <w:rsid w:val="78A21BA4"/>
    <w:rsid w:val="7991095A"/>
    <w:rsid w:val="7A9030E4"/>
    <w:rsid w:val="7AA5772A"/>
    <w:rsid w:val="7B4D00D8"/>
    <w:rsid w:val="7F7B37FF"/>
    <w:rsid w:val="7FC00B62"/>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3"/>
    <w:semiHidden/>
    <w:unhideWhenUsed/>
    <w:qFormat/>
    <w:uiPriority w:val="99"/>
    <w:rPr>
      <w:sz w:val="18"/>
      <w:szCs w:val="18"/>
    </w:rPr>
  </w:style>
  <w:style w:type="paragraph" w:styleId="3">
    <w:name w:val="footer"/>
    <w:basedOn w:val="1"/>
    <w:link w:val="12"/>
    <w:qFormat/>
    <w:uiPriority w:val="99"/>
    <w:pPr>
      <w:tabs>
        <w:tab w:val="center" w:pos="4153"/>
        <w:tab w:val="right" w:pos="8306"/>
      </w:tabs>
      <w:snapToGrid w:val="0"/>
      <w:jc w:val="left"/>
    </w:pPr>
    <w:rPr>
      <w:sz w:val="18"/>
      <w:szCs w:val="18"/>
    </w:rPr>
  </w:style>
  <w:style w:type="paragraph" w:styleId="4">
    <w:name w:val="header"/>
    <w:basedOn w:val="1"/>
    <w:link w:val="11"/>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Autospacing="1" w:afterAutospacing="1"/>
      <w:jc w:val="left"/>
    </w:pPr>
    <w:rPr>
      <w:kern w:val="0"/>
      <w:sz w:val="24"/>
    </w:rPr>
  </w:style>
  <w:style w:type="table" w:styleId="7">
    <w:name w:val="Table Grid"/>
    <w:basedOn w:val="6"/>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FollowedHyperlink"/>
    <w:basedOn w:val="8"/>
    <w:semiHidden/>
    <w:unhideWhenUsed/>
    <w:qFormat/>
    <w:uiPriority w:val="99"/>
    <w:rPr>
      <w:color w:val="800080"/>
      <w:u w:val="single"/>
    </w:rPr>
  </w:style>
  <w:style w:type="character" w:styleId="10">
    <w:name w:val="Hyperlink"/>
    <w:basedOn w:val="8"/>
    <w:qFormat/>
    <w:uiPriority w:val="99"/>
    <w:rPr>
      <w:rFonts w:cs="Times New Roman"/>
      <w:color w:val="0000FF"/>
      <w:u w:val="single"/>
    </w:rPr>
  </w:style>
  <w:style w:type="character" w:customStyle="1" w:styleId="11">
    <w:name w:val="页眉 Char"/>
    <w:basedOn w:val="8"/>
    <w:link w:val="4"/>
    <w:semiHidden/>
    <w:qFormat/>
    <w:locked/>
    <w:uiPriority w:val="99"/>
    <w:rPr>
      <w:rFonts w:cs="Times New Roman"/>
      <w:sz w:val="18"/>
      <w:szCs w:val="18"/>
    </w:rPr>
  </w:style>
  <w:style w:type="character" w:customStyle="1" w:styleId="12">
    <w:name w:val="页脚 Char"/>
    <w:basedOn w:val="8"/>
    <w:link w:val="3"/>
    <w:qFormat/>
    <w:locked/>
    <w:uiPriority w:val="99"/>
    <w:rPr>
      <w:rFonts w:cs="Times New Roman"/>
      <w:sz w:val="18"/>
      <w:szCs w:val="18"/>
    </w:rPr>
  </w:style>
  <w:style w:type="character" w:customStyle="1" w:styleId="13">
    <w:name w:val="批注框文本 Char"/>
    <w:basedOn w:val="8"/>
    <w:link w:val="2"/>
    <w:semiHidden/>
    <w:qFormat/>
    <w:uiPriority w:val="99"/>
    <w:rPr>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2049"/>
    <customShpInfo spid="_x0000_s1027"/>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FBB50C6-ABA1-4A55-A45D-411F54AC13C4}">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8</Pages>
  <Words>2847</Words>
  <Characters>3067</Characters>
  <Lines>6</Lines>
  <Paragraphs>1</Paragraphs>
  <TotalTime>87</TotalTime>
  <ScaleCrop>false</ScaleCrop>
  <LinksUpToDate>false</LinksUpToDate>
  <CharactersWithSpaces>3232</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2021-03-05T03:39:00Z</dcterms:created>
  <dc:creator>微软用户</dc:creator>
  <cp:lastModifiedBy>Loveless灬￠</cp:lastModifiedBy>
  <cp:lastPrinted>2023-03-10T07:10:00Z</cp:lastPrinted>
  <dcterms:modified xsi:type="dcterms:W3CDTF">2023-03-10T08:21:06Z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7E43829BDD7548A4B8C73F34AA96CF91</vt:lpwstr>
  </property>
</Properties>
</file>